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5142B" w14:textId="3F12D313" w:rsidR="00465013" w:rsidRDefault="00BD77CD">
      <w:pPr>
        <w:pStyle w:val="3GPPHeader"/>
        <w:spacing w:after="60"/>
        <w:rPr>
          <w:rFonts w:eastAsia="SimSun"/>
          <w:sz w:val="32"/>
          <w:szCs w:val="32"/>
          <w:highlight w:val="yellow"/>
          <w:lang w:val="en-US"/>
        </w:rPr>
      </w:pPr>
      <w:r>
        <w:t xml:space="preserve">3GPP TSG-RAN WG2 </w:t>
      </w:r>
      <w:r>
        <w:rPr>
          <w:rFonts w:cs="Arial"/>
          <w:szCs w:val="24"/>
          <w:lang w:val="de-DE"/>
        </w:rPr>
        <w:t>#1</w:t>
      </w:r>
      <w:r>
        <w:rPr>
          <w:rFonts w:eastAsia="SimSun" w:cs="Arial" w:hint="eastAsia"/>
          <w:szCs w:val="24"/>
          <w:lang w:val="en-US"/>
        </w:rPr>
        <w:t>16bis</w:t>
      </w:r>
      <w:r>
        <w:rPr>
          <w:lang w:val="en-US"/>
        </w:rPr>
        <w:t xml:space="preserve"> </w:t>
      </w:r>
      <w:r>
        <w:tab/>
      </w:r>
      <w:r w:rsidR="00881307" w:rsidRPr="00881307">
        <w:rPr>
          <w:sz w:val="32"/>
          <w:szCs w:val="32"/>
        </w:rPr>
        <w:t>R2-2201032</w:t>
      </w:r>
    </w:p>
    <w:p w14:paraId="41638738" w14:textId="77777777" w:rsidR="00465013" w:rsidRDefault="00BD77CD">
      <w:pPr>
        <w:pStyle w:val="3GPPHeader"/>
      </w:pPr>
      <w:r>
        <w:rPr>
          <w:rFonts w:eastAsia="SimSun" w:hint="eastAsia"/>
          <w:szCs w:val="24"/>
          <w:lang w:val="en-US"/>
        </w:rPr>
        <w:t>Online</w:t>
      </w:r>
      <w:r>
        <w:rPr>
          <w:szCs w:val="24"/>
          <w:lang w:val="en-US"/>
        </w:rPr>
        <w:t xml:space="preserve">, </w:t>
      </w:r>
      <w:r>
        <w:rPr>
          <w:rFonts w:eastAsia="SimSun" w:hint="eastAsia"/>
          <w:szCs w:val="24"/>
          <w:lang w:val="en-US"/>
        </w:rPr>
        <w:t xml:space="preserve">January </w:t>
      </w:r>
      <w:r>
        <w:rPr>
          <w:rFonts w:eastAsia="SimSun"/>
          <w:szCs w:val="24"/>
          <w:lang w:val="en-US"/>
        </w:rPr>
        <w:t>1</w:t>
      </w:r>
      <w:r>
        <w:rPr>
          <w:rFonts w:eastAsia="SimSun" w:hint="eastAsia"/>
          <w:szCs w:val="24"/>
          <w:lang w:val="en-US"/>
        </w:rPr>
        <w:t>7</w:t>
      </w:r>
      <w:r>
        <w:rPr>
          <w:szCs w:val="24"/>
          <w:lang w:val="en-US"/>
        </w:rPr>
        <w:t xml:space="preserve"> – </w:t>
      </w:r>
      <w:r>
        <w:rPr>
          <w:rFonts w:eastAsia="SimSun" w:hint="eastAsia"/>
          <w:szCs w:val="24"/>
          <w:lang w:val="en-US"/>
        </w:rPr>
        <w:t>January 25</w:t>
      </w:r>
      <w:r>
        <w:rPr>
          <w:szCs w:val="24"/>
          <w:lang w:val="en-US"/>
        </w:rPr>
        <w:t xml:space="preserve"> 202</w:t>
      </w:r>
      <w:r>
        <w:rPr>
          <w:rFonts w:eastAsia="SimSun" w:hint="eastAsia"/>
          <w:szCs w:val="24"/>
          <w:lang w:val="en-US"/>
        </w:rPr>
        <w:t>1</w:t>
      </w:r>
      <w:r>
        <w:tab/>
      </w:r>
    </w:p>
    <w:p w14:paraId="224741C4" w14:textId="77777777" w:rsidR="00465013" w:rsidRDefault="00BD77CD">
      <w:pPr>
        <w:pStyle w:val="3GPPHeader"/>
        <w:rPr>
          <w:rFonts w:eastAsia="SimSun"/>
          <w:sz w:val="22"/>
          <w:szCs w:val="22"/>
          <w:lang w:val="en-US"/>
        </w:rPr>
      </w:pPr>
      <w:r>
        <w:rPr>
          <w:sz w:val="22"/>
          <w:szCs w:val="22"/>
        </w:rPr>
        <w:t>Agenda Item:</w:t>
      </w:r>
      <w:r>
        <w:rPr>
          <w:sz w:val="22"/>
          <w:szCs w:val="22"/>
        </w:rPr>
        <w:tab/>
      </w:r>
      <w:r>
        <w:rPr>
          <w:rFonts w:eastAsia="SimSun" w:hint="eastAsia"/>
          <w:sz w:val="22"/>
          <w:szCs w:val="22"/>
          <w:lang w:val="en-US"/>
        </w:rPr>
        <w:t>8.20</w:t>
      </w:r>
    </w:p>
    <w:p w14:paraId="22B2CE8D" w14:textId="77777777" w:rsidR="00465013" w:rsidRDefault="00BD77CD">
      <w:pPr>
        <w:pStyle w:val="3GPPHeader"/>
        <w:rPr>
          <w:sz w:val="22"/>
          <w:szCs w:val="22"/>
        </w:rPr>
      </w:pPr>
      <w:r>
        <w:rPr>
          <w:sz w:val="22"/>
          <w:szCs w:val="22"/>
        </w:rPr>
        <w:t>Source:</w:t>
      </w:r>
      <w:r>
        <w:rPr>
          <w:sz w:val="22"/>
          <w:szCs w:val="22"/>
        </w:rPr>
        <w:tab/>
      </w:r>
      <w:bookmarkStart w:id="0" w:name="OLE_LINK28"/>
      <w:r>
        <w:rPr>
          <w:rFonts w:eastAsia="SimSun"/>
          <w:sz w:val="22"/>
          <w:szCs w:val="22"/>
          <w:lang w:val="en-US"/>
        </w:rPr>
        <w:t>ZTE Corporation, Sanechips</w:t>
      </w:r>
      <w:bookmarkEnd w:id="0"/>
    </w:p>
    <w:p w14:paraId="40AAC29A" w14:textId="77777777" w:rsidR="00465013" w:rsidRDefault="00BD77CD">
      <w:pPr>
        <w:pStyle w:val="3GPPHeader"/>
        <w:rPr>
          <w:rFonts w:eastAsia="SimSun"/>
          <w:sz w:val="22"/>
          <w:szCs w:val="22"/>
          <w:lang w:val="en-US"/>
        </w:rPr>
      </w:pPr>
      <w:r>
        <w:rPr>
          <w:sz w:val="22"/>
          <w:szCs w:val="22"/>
        </w:rPr>
        <w:t>Title:</w:t>
      </w:r>
      <w:r>
        <w:rPr>
          <w:sz w:val="22"/>
          <w:szCs w:val="22"/>
        </w:rPr>
        <w:tab/>
      </w:r>
      <w:r>
        <w:rPr>
          <w:rFonts w:eastAsia="SimSun" w:hint="eastAsia"/>
          <w:sz w:val="22"/>
          <w:szCs w:val="22"/>
          <w:lang w:val="en-US"/>
        </w:rPr>
        <w:t>Discussion on LBT impact</w:t>
      </w:r>
    </w:p>
    <w:p w14:paraId="71F85D71" w14:textId="77777777" w:rsidR="00465013" w:rsidRDefault="00BD77CD">
      <w:pPr>
        <w:pStyle w:val="3GPPHeader"/>
        <w:rPr>
          <w:sz w:val="22"/>
          <w:szCs w:val="22"/>
        </w:rPr>
      </w:pPr>
      <w:r>
        <w:rPr>
          <w:sz w:val="22"/>
          <w:szCs w:val="22"/>
        </w:rPr>
        <w:t>Document for:</w:t>
      </w:r>
      <w:r>
        <w:rPr>
          <w:sz w:val="22"/>
          <w:szCs w:val="22"/>
        </w:rPr>
        <w:tab/>
        <w:t>Discussion, Decision</w:t>
      </w:r>
    </w:p>
    <w:p w14:paraId="6025AD89" w14:textId="77777777" w:rsidR="00465013" w:rsidRDefault="00BD77CD">
      <w:pPr>
        <w:pStyle w:val="Heading1"/>
      </w:pPr>
      <w:r>
        <w:t>Introduction</w:t>
      </w:r>
    </w:p>
    <w:p w14:paraId="207F59C8" w14:textId="77777777" w:rsidR="00465013" w:rsidRDefault="00BD77CD">
      <w:pPr>
        <w:spacing w:before="120" w:after="180"/>
        <w:rPr>
          <w:rFonts w:ascii="Times New Roman" w:eastAsia="SimSun" w:hAnsi="Times New Roman"/>
          <w:szCs w:val="24"/>
          <w:lang w:val="en-US"/>
        </w:rPr>
      </w:pPr>
      <w:r>
        <w:rPr>
          <w:rFonts w:ascii="Times New Roman" w:eastAsia="SimSun" w:hAnsi="Times New Roman" w:hint="eastAsia"/>
          <w:szCs w:val="24"/>
          <w:lang w:val="en-US"/>
        </w:rPr>
        <w:t xml:space="preserve">In RAN1, some agreements were reached </w:t>
      </w:r>
      <w:r>
        <w:rPr>
          <w:rFonts w:ascii="Times New Roman" w:eastAsia="SimSun" w:hAnsi="Times New Roman" w:hint="eastAsia"/>
          <w:szCs w:val="24"/>
          <w:lang w:val="en-US"/>
        </w:rPr>
        <w:t>regarding LBT for operation in shared spectrum in FR2-2, such as supporting two LBT modes and directional LBT. In this contribution, we will discuss the LBT impact on MAC layer according to RAN1</w:t>
      </w:r>
      <w:r>
        <w:rPr>
          <w:rFonts w:ascii="Times New Roman" w:eastAsia="SimSun" w:hAnsi="Times New Roman"/>
          <w:szCs w:val="24"/>
          <w:lang w:val="en-US"/>
        </w:rPr>
        <w:t>’</w:t>
      </w:r>
      <w:r>
        <w:rPr>
          <w:rFonts w:ascii="Times New Roman" w:eastAsia="SimSun" w:hAnsi="Times New Roman" w:hint="eastAsia"/>
          <w:szCs w:val="24"/>
          <w:lang w:val="en-US"/>
        </w:rPr>
        <w:t>s agreements and provide our views.</w:t>
      </w:r>
    </w:p>
    <w:p w14:paraId="50A40E8B" w14:textId="77777777" w:rsidR="00465013" w:rsidRDefault="00BD77CD">
      <w:pPr>
        <w:pStyle w:val="Heading1"/>
        <w:rPr>
          <w:rFonts w:eastAsia="SimSun"/>
          <w:lang w:val="en-US"/>
        </w:rPr>
      </w:pPr>
      <w:bookmarkStart w:id="1" w:name="_Ref525834269"/>
      <w:r>
        <w:t>Discussion</w:t>
      </w:r>
      <w:bookmarkStart w:id="2" w:name="_Toc16701630"/>
      <w:bookmarkStart w:id="3" w:name="_Toc19791224"/>
      <w:bookmarkStart w:id="4" w:name="_Toc20486583"/>
      <w:bookmarkEnd w:id="1"/>
      <w:bookmarkEnd w:id="2"/>
    </w:p>
    <w:p w14:paraId="40CECFE0" w14:textId="77777777" w:rsidR="00465013" w:rsidRDefault="00BD77CD">
      <w:pPr>
        <w:pStyle w:val="Comments"/>
        <w:overflowPunct/>
        <w:autoSpaceDE/>
        <w:autoSpaceDN/>
        <w:adjustRightInd/>
        <w:spacing w:before="120"/>
        <w:textAlignment w:val="auto"/>
        <w:rPr>
          <w:rFonts w:ascii="Times New Roman" w:eastAsia="SimSun" w:hAnsi="Times New Roman"/>
          <w:b/>
          <w:bCs/>
          <w:i w:val="0"/>
          <w:iCs/>
          <w:sz w:val="20"/>
          <w:u w:val="single"/>
          <w:lang w:val="en-US"/>
        </w:rPr>
      </w:pPr>
      <w:r>
        <w:rPr>
          <w:rFonts w:ascii="Times New Roman" w:eastAsia="SimSun" w:hAnsi="Times New Roman"/>
          <w:b/>
          <w:bCs/>
          <w:i w:val="0"/>
          <w:iCs/>
          <w:sz w:val="20"/>
          <w:u w:val="single"/>
          <w:lang w:val="en-US"/>
        </w:rPr>
        <w:t>LBT mode</w:t>
      </w:r>
    </w:p>
    <w:p w14:paraId="590994FF" w14:textId="77777777" w:rsidR="00465013" w:rsidRDefault="00BD77CD">
      <w:pPr>
        <w:rPr>
          <w:rFonts w:ascii="Times New Roman" w:eastAsia="SimSun" w:hAnsi="Times New Roman"/>
          <w:lang w:val="en-US"/>
        </w:rPr>
      </w:pPr>
      <w:r>
        <w:rPr>
          <w:rFonts w:ascii="Times New Roman" w:eastAsia="SimSun" w:hAnsi="Times New Roman" w:hint="eastAsia"/>
          <w:lang w:val="en-US"/>
        </w:rPr>
        <w:t xml:space="preserve">In RAN1 #105[1], two LBT modes have been supported and the corresponding agreement was as below. </w:t>
      </w:r>
    </w:p>
    <w:tbl>
      <w:tblPr>
        <w:tblStyle w:val="TableGrid"/>
        <w:tblW w:w="0" w:type="auto"/>
        <w:tblInd w:w="148" w:type="dxa"/>
        <w:tblLook w:val="04A0" w:firstRow="1" w:lastRow="0" w:firstColumn="1" w:lastColumn="0" w:noHBand="0" w:noVBand="1"/>
      </w:tblPr>
      <w:tblGrid>
        <w:gridCol w:w="9481"/>
      </w:tblGrid>
      <w:tr w:rsidR="00465013" w14:paraId="0AEF204B" w14:textId="77777777">
        <w:tc>
          <w:tcPr>
            <w:tcW w:w="9707" w:type="dxa"/>
          </w:tcPr>
          <w:p w14:paraId="5FA5E58F" w14:textId="77777777" w:rsidR="00465013" w:rsidRDefault="00BD77CD">
            <w:pPr>
              <w:rPr>
                <w:rFonts w:ascii="Times New Roman" w:hAnsi="Times New Roman"/>
                <w:lang w:val="en-US"/>
              </w:rPr>
            </w:pPr>
            <w:r>
              <w:rPr>
                <w:rFonts w:ascii="Times New Roman" w:hAnsi="Times New Roman"/>
                <w:highlight w:val="green"/>
                <w:lang w:val="en-US"/>
              </w:rPr>
              <w:t>Agreement:</w:t>
            </w:r>
          </w:p>
          <w:p w14:paraId="7A648081" w14:textId="77777777" w:rsidR="00465013" w:rsidRDefault="00BD77CD">
            <w:pPr>
              <w:rPr>
                <w:rFonts w:ascii="Times New Roman" w:hAnsi="Times New Roman"/>
                <w:lang w:val="en-US"/>
              </w:rPr>
            </w:pPr>
            <w:r>
              <w:rPr>
                <w:rFonts w:ascii="Times New Roman" w:hAnsi="Times New Roman"/>
                <w:lang w:val="en-US"/>
              </w:rPr>
              <w:t>For regions where LBT is not mandated, gNB should indicate to the UE this gNB-UE connection is operating in LBT mode or no-LBT mode</w:t>
            </w:r>
          </w:p>
          <w:p w14:paraId="7CA2C1BB" w14:textId="77777777" w:rsidR="00465013" w:rsidRDefault="00BD77CD">
            <w:pPr>
              <w:pStyle w:val="ListParagraph"/>
              <w:numPr>
                <w:ilvl w:val="0"/>
                <w:numId w:val="7"/>
              </w:numPr>
              <w:kinsoku w:val="0"/>
              <w:spacing w:after="60" w:line="259" w:lineRule="auto"/>
              <w:rPr>
                <w:rFonts w:ascii="Times New Roman" w:eastAsia="SimSun" w:hAnsi="Times New Roman"/>
                <w:szCs w:val="24"/>
                <w:lang w:val="en-US"/>
              </w:rPr>
            </w:pPr>
            <w:r>
              <w:rPr>
                <w:rFonts w:ascii="Times New Roman" w:hAnsi="Times New Roman"/>
                <w:lang w:val="en-US"/>
              </w:rPr>
              <w:t>Support both ce</w:t>
            </w:r>
            <w:r>
              <w:rPr>
                <w:rFonts w:ascii="Times New Roman" w:hAnsi="Times New Roman"/>
                <w:lang w:val="en-US"/>
              </w:rPr>
              <w:t>ll specific (common for all UEs in a cell as part of system information or dedicated RRC signalling or both) and UE specific (can be different for different UEs in a cell as part of UE-specific RRC configuration) gNB indication</w:t>
            </w:r>
          </w:p>
        </w:tc>
      </w:tr>
    </w:tbl>
    <w:p w14:paraId="12B68C61" w14:textId="77777777" w:rsidR="00465013" w:rsidRDefault="00BD77CD">
      <w:pPr>
        <w:spacing w:before="180" w:after="180"/>
        <w:rPr>
          <w:rFonts w:ascii="Times New Roman" w:eastAsia="SimSun" w:hAnsi="Times New Roman"/>
          <w:lang w:val="en-US"/>
        </w:rPr>
      </w:pPr>
      <w:r>
        <w:rPr>
          <w:rFonts w:ascii="Times New Roman" w:eastAsia="SimSun" w:hAnsi="Times New Roman" w:hint="eastAsia"/>
          <w:lang w:val="en-US"/>
        </w:rPr>
        <w:t>According to the agreement,</w:t>
      </w:r>
      <w:r>
        <w:rPr>
          <w:rFonts w:ascii="Times New Roman" w:eastAsia="SimSun" w:hAnsi="Times New Roman" w:hint="eastAsia"/>
          <w:lang w:val="en-US"/>
        </w:rPr>
        <w:t xml:space="preserve"> LBT mode, i.e. LBT mode and no-LBT mode, may be configured by SIB or RRC message, which means that LBT mode may be switched by gNB indication. In the following, we will discuss LBT mode switching impact.</w:t>
      </w:r>
    </w:p>
    <w:p w14:paraId="00342262" w14:textId="77777777" w:rsidR="00465013" w:rsidRDefault="00BD77CD">
      <w:pPr>
        <w:rPr>
          <w:rFonts w:ascii="Times New Roman" w:eastAsia="SimSun" w:hAnsi="Times New Roman"/>
          <w:lang w:val="en-US"/>
        </w:rPr>
      </w:pPr>
      <w:r>
        <w:rPr>
          <w:rFonts w:ascii="Times New Roman" w:eastAsia="SimSun" w:hAnsi="Times New Roman" w:hint="eastAsia"/>
          <w:lang w:val="en-US"/>
        </w:rPr>
        <w:t>In Rel-16 NR-U,</w:t>
      </w:r>
      <w:r>
        <w:rPr>
          <w:rFonts w:ascii="Times New Roman" w:eastAsia="SimSun" w:hAnsi="Times New Roman"/>
          <w:lang w:val="en-US"/>
        </w:rPr>
        <w:t xml:space="preserve"> </w:t>
      </w:r>
      <w:r>
        <w:rPr>
          <w:rFonts w:ascii="Times New Roman" w:hAnsi="Times New Roman"/>
          <w:i/>
          <w:iCs/>
        </w:rPr>
        <w:t>cg-RetransmissionTimer</w:t>
      </w:r>
      <w:r>
        <w:rPr>
          <w:rFonts w:ascii="Times New Roman" w:eastAsia="SimSun" w:hAnsi="Times New Roman" w:hint="eastAsia"/>
          <w:lang w:val="en-US"/>
        </w:rPr>
        <w:t xml:space="preserve"> is introduce</w:t>
      </w:r>
      <w:r>
        <w:rPr>
          <w:rFonts w:ascii="Times New Roman" w:eastAsia="SimSun" w:hAnsi="Times New Roman" w:hint="eastAsia"/>
          <w:lang w:val="en-US"/>
        </w:rPr>
        <w:t>d due to LBT impact on configured grant transmission. And this parameter is always configured for operation with shared spectrum channel access. However, for operation in shared spectrum in FR2-2, LBT mode is introduced. When LBT mode switches to no LBT mo</w:t>
      </w:r>
      <w:r>
        <w:rPr>
          <w:rFonts w:ascii="Times New Roman" w:eastAsia="SimSun" w:hAnsi="Times New Roman" w:hint="eastAsia"/>
          <w:lang w:val="en-US"/>
        </w:rPr>
        <w:t>de, since LBT do not need to be performed, autonomous retransmisison is not needed. In addition, for LBT mode, the probability of inference decreases due to the usage of narrow beams, then the probability of LBT failure decreases accordingly. Hence autonom</w:t>
      </w:r>
      <w:r>
        <w:rPr>
          <w:rFonts w:ascii="Times New Roman" w:eastAsia="SimSun" w:hAnsi="Times New Roman" w:hint="eastAsia"/>
          <w:lang w:val="en-US"/>
        </w:rPr>
        <w:t xml:space="preserve">ous retransmisison is not must. Given these in mind, we think </w:t>
      </w:r>
      <w:r>
        <w:rPr>
          <w:rFonts w:ascii="Times New Roman" w:hAnsi="Times New Roman"/>
          <w:i/>
          <w:iCs/>
        </w:rPr>
        <w:t>cg-RetransmissionTimer</w:t>
      </w:r>
      <w:r>
        <w:rPr>
          <w:rFonts w:ascii="Times New Roman" w:eastAsia="SimSun" w:hAnsi="Times New Roman" w:hint="eastAsia"/>
          <w:lang w:val="en-US"/>
        </w:rPr>
        <w:t xml:space="preserve"> should be optional for operation in the shared spectrum in FR2-2.</w:t>
      </w:r>
    </w:p>
    <w:p w14:paraId="6B17C578" w14:textId="77777777" w:rsidR="00465013" w:rsidRDefault="00BD77CD">
      <w:pPr>
        <w:overflowPunct/>
        <w:autoSpaceDE/>
        <w:autoSpaceDN/>
        <w:adjustRightInd/>
        <w:spacing w:after="180"/>
        <w:textAlignment w:val="auto"/>
        <w:rPr>
          <w:rFonts w:ascii="Times New Roman" w:eastAsia="SimSun" w:hAnsi="Times New Roman"/>
          <w:lang w:val="en-US"/>
        </w:rPr>
      </w:pPr>
      <w:r>
        <w:rPr>
          <w:rFonts w:ascii="Times New Roman" w:eastAsia="SimSun" w:hAnsi="Times New Roman" w:hint="eastAsia"/>
          <w:b/>
          <w:bCs/>
          <w:lang w:val="en-US"/>
        </w:rPr>
        <w:t>Proposal 1:</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operation in the shared spectrum in FR2-2, </w:t>
      </w:r>
      <w:r>
        <w:rPr>
          <w:rFonts w:ascii="Times New Roman" w:hAnsi="Times New Roman"/>
          <w:i/>
          <w:iCs/>
        </w:rPr>
        <w:t>cg-RetransmissionTimer</w:t>
      </w:r>
      <w:r>
        <w:rPr>
          <w:rFonts w:ascii="Times New Roman" w:eastAsia="SimSun" w:hAnsi="Times New Roman" w:hint="eastAsia"/>
          <w:i/>
          <w:iCs/>
          <w:lang w:val="en-US"/>
        </w:rPr>
        <w:t xml:space="preserve"> should be optionally configured. </w:t>
      </w:r>
    </w:p>
    <w:p w14:paraId="09FF6B75" w14:textId="49264E34" w:rsidR="00465013" w:rsidRDefault="00BD77CD">
      <w:pPr>
        <w:rPr>
          <w:rFonts w:ascii="Times New Roman" w:eastAsia="SimSun" w:hAnsi="Times New Roman"/>
          <w:lang w:val="en-US"/>
        </w:rPr>
      </w:pPr>
      <w:r>
        <w:rPr>
          <w:rFonts w:ascii="Times New Roman" w:eastAsia="SimSun" w:hAnsi="Times New Roman" w:hint="eastAsia"/>
          <w:lang w:val="en-US"/>
        </w:rPr>
        <w:t xml:space="preserve">For LBT operation, if LBT failure detection/recovery is configured, when LBT mode is changed from LBT to no-LBT, </w:t>
      </w:r>
      <w:r>
        <w:rPr>
          <w:rFonts w:ascii="Times New Roman" w:eastAsia="SimSun" w:hAnsi="Times New Roman" w:hint="eastAsia"/>
          <w:i/>
          <w:iCs/>
          <w:lang w:val="en-US"/>
        </w:rPr>
        <w:t>LBT_COUNTER</w:t>
      </w:r>
      <w:r>
        <w:rPr>
          <w:rFonts w:ascii="Times New Roman" w:eastAsia="SimSun" w:hAnsi="Times New Roman" w:hint="eastAsia"/>
          <w:lang w:val="en-US"/>
        </w:rPr>
        <w:t xml:space="preserve"> should be cleared </w:t>
      </w:r>
      <w:r>
        <w:rPr>
          <w:rFonts w:ascii="Times New Roman" w:eastAsia="SimSun" w:hAnsi="Times New Roman" w:hint="eastAsia"/>
          <w:lang w:val="en-US"/>
        </w:rPr>
        <w:t xml:space="preserve">and </w:t>
      </w:r>
      <w:r>
        <w:rPr>
          <w:rFonts w:ascii="Times New Roman" w:hAnsi="Times New Roman"/>
          <w:i/>
          <w:iCs/>
        </w:rPr>
        <w:t>lbt-FailureDetectionTimer</w:t>
      </w:r>
      <w:r>
        <w:rPr>
          <w:rFonts w:ascii="Times New Roman" w:eastAsia="SimSun" w:hAnsi="Times New Roman"/>
          <w:lang w:val="en-US"/>
        </w:rPr>
        <w:t xml:space="preserve"> </w:t>
      </w:r>
      <w:r>
        <w:rPr>
          <w:rFonts w:ascii="Times New Roman" w:eastAsia="SimSun" w:hAnsi="Times New Roman" w:hint="eastAsia"/>
          <w:lang w:val="en-US"/>
        </w:rPr>
        <w:t xml:space="preserve">is stopped if running. In addition, since no-LBT mode is indicated, it means that the channel is not busy. Hence, if there is </w:t>
      </w:r>
      <w:r>
        <w:rPr>
          <w:rFonts w:ascii="Times New Roman" w:eastAsia="SimSun" w:hAnsi="Times New Roman"/>
          <w:lang w:val="en-US"/>
        </w:rPr>
        <w:t xml:space="preserve">a </w:t>
      </w:r>
      <w:r>
        <w:rPr>
          <w:rFonts w:ascii="Times New Roman" w:eastAsia="SimSun" w:hAnsi="Times New Roman" w:hint="eastAsia"/>
          <w:lang w:val="en-US"/>
        </w:rPr>
        <w:t>triggered consistent LBT failure in this serving, it may be canceled. For SCell, if there is ongoing R</w:t>
      </w:r>
      <w:r>
        <w:rPr>
          <w:rFonts w:ascii="Times New Roman" w:eastAsia="SimSun" w:hAnsi="Times New Roman" w:hint="eastAsia"/>
          <w:lang w:val="en-US"/>
        </w:rPr>
        <w:t xml:space="preserve">andom Access procedure due to a pending SR for consistent LBT failure recovery, which has no valid PUCCH resources configured, the MAC entity should stop it. For SpCell, if there is ongoing Random Access procedure in the BWP </w:t>
      </w:r>
      <w:r>
        <w:rPr>
          <w:rFonts w:ascii="Times New Roman" w:hAnsi="Times New Roman"/>
          <w:lang w:eastAsia="ko-KR"/>
        </w:rPr>
        <w:t>configured with PRACH occasions</w:t>
      </w:r>
      <w:r>
        <w:rPr>
          <w:rFonts w:ascii="Times New Roman" w:eastAsia="SimSun" w:hAnsi="Times New Roman" w:hint="eastAsia"/>
          <w:lang w:val="en-US"/>
        </w:rPr>
        <w:t xml:space="preserve">, the MAC entity should also stop it. </w:t>
      </w:r>
    </w:p>
    <w:p w14:paraId="26CA27B8" w14:textId="77777777" w:rsidR="00465013" w:rsidRDefault="00BD77CD">
      <w:pPr>
        <w:spacing w:after="180"/>
        <w:rPr>
          <w:rFonts w:eastAsia="SimSun"/>
          <w:lang w:val="en-US"/>
        </w:rPr>
      </w:pPr>
      <w:r>
        <w:rPr>
          <w:rFonts w:ascii="Times New Roman" w:eastAsia="SimSun" w:hAnsi="Times New Roman" w:hint="eastAsia"/>
          <w:b/>
          <w:bCs/>
          <w:lang w:val="en-US"/>
        </w:rPr>
        <w:t>Proposal 2:</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LBT operation, when LBT mode is changed from LBT to no-LBT, LBT_COUNTER is set 0 and </w:t>
      </w:r>
      <w:r>
        <w:rPr>
          <w:rFonts w:ascii="Times New Roman" w:hAnsi="Times New Roman"/>
          <w:i/>
          <w:iCs/>
        </w:rPr>
        <w:t>lbt-FailureDetectionTimer</w:t>
      </w:r>
      <w:r>
        <w:rPr>
          <w:rFonts w:ascii="Times New Roman" w:eastAsia="SimSun" w:hAnsi="Times New Roman"/>
          <w:i/>
          <w:iCs/>
          <w:lang w:val="en-US"/>
        </w:rPr>
        <w:t xml:space="preserve"> </w:t>
      </w:r>
      <w:r>
        <w:rPr>
          <w:rFonts w:ascii="Times New Roman" w:eastAsia="SimSun" w:hAnsi="Times New Roman" w:hint="eastAsia"/>
          <w:i/>
          <w:iCs/>
          <w:lang w:val="en-US"/>
        </w:rPr>
        <w:t xml:space="preserve">is stopped, if running. All triggered consistent LBT failure(s) are canceled. If there is </w:t>
      </w:r>
      <w:r>
        <w:rPr>
          <w:rFonts w:ascii="Times New Roman" w:eastAsia="SimSun" w:hAnsi="Times New Roman" w:hint="eastAsia"/>
          <w:i/>
          <w:iCs/>
          <w:lang w:val="en-US"/>
        </w:rPr>
        <w:t>ongoing Random Access procedure which is related to consistent LBT failure, it should be stopped.</w:t>
      </w:r>
    </w:p>
    <w:p w14:paraId="34628ADF" w14:textId="77777777" w:rsidR="00465013" w:rsidRDefault="00BD77CD">
      <w:pPr>
        <w:pStyle w:val="Comments"/>
        <w:overflowPunct/>
        <w:autoSpaceDE/>
        <w:autoSpaceDN/>
        <w:adjustRightInd/>
        <w:spacing w:before="120"/>
        <w:textAlignment w:val="auto"/>
        <w:rPr>
          <w:rFonts w:ascii="Times New Roman" w:eastAsia="SimSun" w:hAnsi="Times New Roman"/>
          <w:b/>
          <w:bCs/>
          <w:i w:val="0"/>
          <w:iCs/>
          <w:sz w:val="20"/>
          <w:u w:val="single"/>
          <w:lang w:val="en-US"/>
        </w:rPr>
      </w:pPr>
      <w:r>
        <w:rPr>
          <w:rFonts w:ascii="Times New Roman" w:eastAsia="SimSun" w:hAnsi="Times New Roman" w:hint="eastAsia"/>
          <w:b/>
          <w:bCs/>
          <w:i w:val="0"/>
          <w:iCs/>
          <w:sz w:val="20"/>
          <w:u w:val="single"/>
          <w:lang w:val="en-US"/>
        </w:rPr>
        <w:t>Directional LBT</w:t>
      </w:r>
    </w:p>
    <w:p w14:paraId="43765C5C" w14:textId="77777777" w:rsidR="00465013" w:rsidRDefault="00BD77CD">
      <w:pPr>
        <w:pStyle w:val="Comments"/>
        <w:overflowPunct/>
        <w:autoSpaceDE/>
        <w:autoSpaceDN/>
        <w:adjustRightInd/>
        <w:textAlignment w:val="auto"/>
        <w:rPr>
          <w:rFonts w:ascii="Times New Roman" w:eastAsia="SimSun" w:hAnsi="Times New Roman"/>
          <w:i w:val="0"/>
          <w:iCs/>
          <w:sz w:val="20"/>
          <w:lang w:val="en-US"/>
        </w:rPr>
      </w:pPr>
      <w:r>
        <w:rPr>
          <w:rFonts w:ascii="Times New Roman" w:eastAsia="SimSun" w:hAnsi="Times New Roman"/>
          <w:i w:val="0"/>
          <w:iCs/>
          <w:sz w:val="20"/>
          <w:lang w:val="en-US"/>
        </w:rPr>
        <w:t>In RAN1 #107</w:t>
      </w:r>
      <w:r>
        <w:rPr>
          <w:rFonts w:ascii="Times New Roman" w:eastAsia="SimSun" w:hAnsi="Times New Roman" w:hint="eastAsia"/>
          <w:i w:val="0"/>
          <w:iCs/>
          <w:sz w:val="20"/>
          <w:lang w:val="en-US"/>
        </w:rPr>
        <w:t>[2]</w:t>
      </w:r>
      <w:r>
        <w:rPr>
          <w:rFonts w:ascii="Times New Roman" w:eastAsia="SimSun" w:hAnsi="Times New Roman"/>
          <w:i w:val="0"/>
          <w:iCs/>
          <w:sz w:val="20"/>
          <w:lang w:val="en-US"/>
        </w:rPr>
        <w:t xml:space="preserve">, for a COT with SDM transmission and TDM transmission with beam switching, the following agreements were reached: </w:t>
      </w:r>
    </w:p>
    <w:tbl>
      <w:tblPr>
        <w:tblStyle w:val="TableGrid"/>
        <w:tblW w:w="0" w:type="auto"/>
        <w:tblInd w:w="62" w:type="dxa"/>
        <w:tblLook w:val="04A0" w:firstRow="1" w:lastRow="0" w:firstColumn="1" w:lastColumn="0" w:noHBand="0" w:noVBand="1"/>
      </w:tblPr>
      <w:tblGrid>
        <w:gridCol w:w="9529"/>
      </w:tblGrid>
      <w:tr w:rsidR="00465013" w14:paraId="0F168CFC" w14:textId="77777777">
        <w:tc>
          <w:tcPr>
            <w:tcW w:w="9529" w:type="dxa"/>
          </w:tcPr>
          <w:p w14:paraId="2EC21CF9" w14:textId="77777777" w:rsidR="00465013" w:rsidRDefault="00BD77CD">
            <w:pPr>
              <w:rPr>
                <w:rFonts w:ascii="Times New Roman" w:hAnsi="Times New Roman"/>
                <w:b/>
                <w:bCs/>
                <w:highlight w:val="green"/>
                <w:lang w:val="en-US"/>
              </w:rPr>
            </w:pPr>
            <w:r>
              <w:rPr>
                <w:rFonts w:ascii="Times New Roman" w:hAnsi="Times New Roman"/>
                <w:b/>
                <w:bCs/>
                <w:highlight w:val="green"/>
                <w:lang w:val="en-US"/>
              </w:rPr>
              <w:lastRenderedPageBreak/>
              <w:t>Agreement</w:t>
            </w:r>
          </w:p>
          <w:p w14:paraId="67DE5758" w14:textId="77777777" w:rsidR="00465013" w:rsidRDefault="00BD77CD">
            <w:pPr>
              <w:rPr>
                <w:rFonts w:ascii="Times New Roman" w:hAnsi="Times New Roman"/>
                <w:lang w:val="en-US" w:eastAsia="ja-JP"/>
              </w:rPr>
            </w:pPr>
            <w:r>
              <w:rPr>
                <w:rFonts w:ascii="Times New Roman" w:hAnsi="Times New Roman"/>
                <w:lang w:val="en-US" w:eastAsia="ja-JP"/>
              </w:rPr>
              <w:t>For a COT with MU-MIMO (SDM) transmission, support both Alt 1 and Alt 2 below:</w:t>
            </w:r>
          </w:p>
          <w:p w14:paraId="57C9B178" w14:textId="77777777" w:rsidR="00465013" w:rsidRDefault="00BD77CD">
            <w:pPr>
              <w:pStyle w:val="ListParagraph"/>
              <w:numPr>
                <w:ilvl w:val="0"/>
                <w:numId w:val="8"/>
              </w:numPr>
              <w:snapToGrid w:val="0"/>
              <w:rPr>
                <w:rFonts w:ascii="Times New Roman" w:hAnsi="Times New Roman"/>
                <w:lang w:val="en-US" w:eastAsia="ko-KR"/>
              </w:rPr>
            </w:pPr>
            <w:r>
              <w:rPr>
                <w:rFonts w:ascii="Times New Roman" w:hAnsi="Times New Roman"/>
                <w:lang w:val="en-US" w:eastAsia="ko-KR"/>
              </w:rPr>
              <w:t>Alt 1: Single LBT sensing at the start of the COT with wide beam ‘cover’ all beams to be used in the COT with appropriate ED threshold</w:t>
            </w:r>
          </w:p>
          <w:p w14:paraId="6FAA3503" w14:textId="77777777" w:rsidR="00465013" w:rsidRDefault="00BD77CD">
            <w:pPr>
              <w:pStyle w:val="ListParagraph"/>
              <w:numPr>
                <w:ilvl w:val="0"/>
                <w:numId w:val="8"/>
              </w:numPr>
              <w:snapToGrid w:val="0"/>
              <w:rPr>
                <w:rFonts w:ascii="Times New Roman" w:hAnsi="Times New Roman"/>
                <w:lang w:val="en-US" w:eastAsia="ko-KR"/>
              </w:rPr>
            </w:pPr>
            <w:r>
              <w:rPr>
                <w:rFonts w:ascii="Times New Roman" w:hAnsi="Times New Roman"/>
                <w:lang w:val="en-US" w:eastAsia="ko-KR"/>
              </w:rPr>
              <w:t xml:space="preserve">Alt 2: Independent per-beam LBT </w:t>
            </w:r>
            <w:r>
              <w:rPr>
                <w:rFonts w:ascii="Times New Roman" w:hAnsi="Times New Roman"/>
                <w:lang w:val="en-US" w:eastAsia="ko-KR"/>
              </w:rPr>
              <w:t>sensing at the start of COT is performed for beams used in th</w:t>
            </w:r>
            <w:r>
              <w:rPr>
                <w:rFonts w:ascii="Times New Roman" w:hAnsi="Times New Roman"/>
                <w:color w:val="000000"/>
                <w:lang w:val="en-US" w:eastAsia="ko-KR"/>
              </w:rPr>
              <w:t>e COT,</w:t>
            </w:r>
            <w:r>
              <w:rPr>
                <w:rFonts w:ascii="Times New Roman" w:hAnsi="Times New Roman"/>
                <w:color w:val="000000"/>
                <w:lang w:val="en-US"/>
              </w:rPr>
              <w:t xml:space="preserve"> if the </w:t>
            </w:r>
            <w:r>
              <w:rPr>
                <w:rFonts w:ascii="Times New Roman" w:hAnsi="Times New Roman"/>
                <w:lang w:val="en-US"/>
              </w:rPr>
              <w:t xml:space="preserve">node can perform </w:t>
            </w:r>
            <w:r>
              <w:rPr>
                <w:rFonts w:ascii="Times New Roman" w:hAnsi="Times New Roman"/>
                <w:highlight w:val="green"/>
                <w:lang w:val="en-US"/>
              </w:rPr>
              <w:t>simultaneous sensing</w:t>
            </w:r>
            <w:r>
              <w:rPr>
                <w:rFonts w:ascii="Times New Roman" w:hAnsi="Times New Roman"/>
                <w:lang w:val="en-US"/>
              </w:rPr>
              <w:t xml:space="preserve"> in different beams</w:t>
            </w:r>
            <w:r>
              <w:rPr>
                <w:rFonts w:ascii="Times New Roman" w:hAnsi="Times New Roman"/>
                <w:lang w:val="en-US" w:eastAsia="ko-KR"/>
              </w:rPr>
              <w:t xml:space="preserve"> </w:t>
            </w:r>
          </w:p>
          <w:p w14:paraId="6FC0ADEC" w14:textId="77777777" w:rsidR="00465013" w:rsidRDefault="00BD77CD">
            <w:pPr>
              <w:rPr>
                <w:rFonts w:ascii="Times New Roman" w:hAnsi="Times New Roman"/>
                <w:b/>
                <w:bCs/>
                <w:highlight w:val="green"/>
                <w:lang w:val="en-US"/>
              </w:rPr>
            </w:pPr>
            <w:r>
              <w:rPr>
                <w:rFonts w:ascii="Times New Roman" w:hAnsi="Times New Roman"/>
                <w:color w:val="000000"/>
                <w:lang w:val="en-US"/>
              </w:rPr>
              <w:t xml:space="preserve">Note: On UE side, no UE capability will be introduced for this purpose. </w:t>
            </w:r>
          </w:p>
          <w:p w14:paraId="4DDD1E0F" w14:textId="77777777" w:rsidR="00465013" w:rsidRDefault="00BD77CD">
            <w:pPr>
              <w:rPr>
                <w:rFonts w:ascii="Times New Roman" w:hAnsi="Times New Roman"/>
                <w:b/>
                <w:bCs/>
                <w:highlight w:val="green"/>
                <w:lang w:val="en-US"/>
              </w:rPr>
            </w:pPr>
            <w:r>
              <w:rPr>
                <w:rFonts w:ascii="Times New Roman" w:hAnsi="Times New Roman"/>
                <w:b/>
                <w:bCs/>
                <w:highlight w:val="green"/>
                <w:lang w:val="en-US"/>
              </w:rPr>
              <w:t>Agreement</w:t>
            </w:r>
          </w:p>
          <w:p w14:paraId="36D711DF" w14:textId="77777777" w:rsidR="00465013" w:rsidRDefault="00BD77CD">
            <w:pPr>
              <w:rPr>
                <w:rFonts w:ascii="Times New Roman" w:hAnsi="Times New Roman"/>
                <w:lang w:val="en-US" w:eastAsia="ja-JP"/>
              </w:rPr>
            </w:pPr>
            <w:r>
              <w:rPr>
                <w:rFonts w:ascii="Times New Roman" w:hAnsi="Times New Roman"/>
                <w:lang w:val="en-US" w:eastAsia="ja-JP"/>
              </w:rPr>
              <w:t>Within a COT with TDM of beams with beam</w:t>
            </w:r>
            <w:r>
              <w:rPr>
                <w:rFonts w:ascii="Times New Roman" w:hAnsi="Times New Roman"/>
                <w:lang w:val="en-US" w:eastAsia="ja-JP"/>
              </w:rPr>
              <w:t xml:space="preserve"> switching, at least support Alt 1</w:t>
            </w:r>
          </w:p>
          <w:p w14:paraId="73D56B7B" w14:textId="77777777" w:rsidR="00465013" w:rsidRDefault="00BD77CD">
            <w:pPr>
              <w:pStyle w:val="ListParagraph"/>
              <w:numPr>
                <w:ilvl w:val="0"/>
                <w:numId w:val="9"/>
              </w:numPr>
              <w:snapToGrid w:val="0"/>
              <w:spacing w:line="252" w:lineRule="auto"/>
              <w:rPr>
                <w:rFonts w:ascii="Times New Roman" w:hAnsi="Times New Roman"/>
                <w:lang w:val="en-US" w:eastAsia="ko-KR"/>
              </w:rPr>
            </w:pPr>
            <w:r>
              <w:rPr>
                <w:rFonts w:ascii="Times New Roman" w:hAnsi="Times New Roman"/>
                <w:lang w:val="en-US" w:eastAsia="ko-KR"/>
              </w:rPr>
              <w:t xml:space="preserve">Alt 1 (from previous agreement): Single LBT sensing with wide beam ‘cover’ all beams to be used in the COT </w:t>
            </w:r>
          </w:p>
          <w:p w14:paraId="5D8934DC" w14:textId="77777777" w:rsidR="00465013" w:rsidRDefault="00BD77CD">
            <w:pPr>
              <w:rPr>
                <w:rFonts w:ascii="Times New Roman" w:hAnsi="Times New Roman"/>
                <w:b/>
                <w:bCs/>
                <w:highlight w:val="green"/>
                <w:lang w:val="en-US"/>
              </w:rPr>
            </w:pPr>
            <w:r>
              <w:rPr>
                <w:rFonts w:ascii="Times New Roman" w:hAnsi="Times New Roman"/>
                <w:b/>
                <w:bCs/>
                <w:highlight w:val="green"/>
                <w:lang w:val="en-US"/>
              </w:rPr>
              <w:t>Agreement</w:t>
            </w:r>
          </w:p>
          <w:p w14:paraId="73BDBA67" w14:textId="77777777" w:rsidR="00465013" w:rsidRDefault="00BD77CD">
            <w:pPr>
              <w:rPr>
                <w:rFonts w:ascii="Times New Roman" w:hAnsi="Times New Roman"/>
                <w:lang w:val="en-US" w:eastAsia="ja-JP"/>
              </w:rPr>
            </w:pPr>
            <w:r>
              <w:rPr>
                <w:rFonts w:ascii="Times New Roman" w:hAnsi="Times New Roman"/>
                <w:lang w:val="en-US" w:eastAsia="ja-JP"/>
              </w:rPr>
              <w:t>Within a COT with TDM of beams with beam switching, Alt 2 is supported if the node has the capability t</w:t>
            </w:r>
            <w:r>
              <w:rPr>
                <w:rFonts w:ascii="Times New Roman" w:hAnsi="Times New Roman"/>
                <w:lang w:val="en-US" w:eastAsia="ja-JP"/>
              </w:rPr>
              <w:t>o perform simultaneous sensing in different beams. Alt 3 is allowed as node implementation choice if the node also supports Cat 2 LBT. The use of Alt 2 or Alt 3 is based on node’s implementation.</w:t>
            </w:r>
          </w:p>
          <w:p w14:paraId="50A5037E" w14:textId="77777777" w:rsidR="00465013" w:rsidRDefault="00BD77CD">
            <w:pPr>
              <w:pStyle w:val="ListParagraph"/>
              <w:numPr>
                <w:ilvl w:val="0"/>
                <w:numId w:val="9"/>
              </w:numPr>
              <w:snapToGrid w:val="0"/>
              <w:spacing w:line="252" w:lineRule="auto"/>
              <w:rPr>
                <w:rFonts w:ascii="Times New Roman" w:hAnsi="Times New Roman"/>
                <w:lang w:val="en-US" w:eastAsia="ko-KR"/>
              </w:rPr>
            </w:pPr>
            <w:r>
              <w:rPr>
                <w:rFonts w:ascii="Times New Roman" w:hAnsi="Times New Roman"/>
                <w:lang w:val="en-US" w:eastAsia="ko-KR"/>
              </w:rPr>
              <w:t>Alt 2 from previous agreement: Independent per-beam LBT sens</w:t>
            </w:r>
            <w:r>
              <w:rPr>
                <w:rFonts w:ascii="Times New Roman" w:hAnsi="Times New Roman"/>
                <w:lang w:val="en-US" w:eastAsia="ko-KR"/>
              </w:rPr>
              <w:t>ing at the start of COT is performed for beams used in the COT</w:t>
            </w:r>
          </w:p>
          <w:p w14:paraId="6583DF33" w14:textId="77777777" w:rsidR="00465013" w:rsidRDefault="00BD77CD">
            <w:pPr>
              <w:pStyle w:val="ListParagraph"/>
              <w:numPr>
                <w:ilvl w:val="0"/>
                <w:numId w:val="9"/>
              </w:numPr>
              <w:snapToGrid w:val="0"/>
              <w:spacing w:line="252" w:lineRule="auto"/>
              <w:rPr>
                <w:rFonts w:eastAsia="SimSun"/>
                <w:lang w:val="en-US"/>
              </w:rPr>
            </w:pPr>
            <w:r>
              <w:rPr>
                <w:rFonts w:ascii="Times New Roman" w:hAnsi="Times New Roman"/>
                <w:lang w:val="en-US" w:eastAsia="ko-KR"/>
              </w:rPr>
              <w:t>Alt 3 from previous agreement: Independent per-beam LBT sensing at the start of COT is performed for beams used in the COT with additional requirement on Cat 2 LBT before beam switch</w:t>
            </w:r>
          </w:p>
        </w:tc>
      </w:tr>
    </w:tbl>
    <w:p w14:paraId="6F2B50C6" w14:textId="77777777" w:rsidR="00465013" w:rsidRDefault="00BD77CD">
      <w:pPr>
        <w:pStyle w:val="Comments"/>
        <w:overflowPunct/>
        <w:autoSpaceDE/>
        <w:autoSpaceDN/>
        <w:adjustRightInd/>
        <w:spacing w:before="120"/>
        <w:textAlignment w:val="auto"/>
        <w:rPr>
          <w:rFonts w:ascii="Times New Roman" w:eastAsia="SimSun" w:hAnsi="Times New Roman"/>
          <w:i w:val="0"/>
          <w:iCs/>
          <w:sz w:val="20"/>
          <w:lang w:val="en-US"/>
        </w:rPr>
      </w:pPr>
      <w:r>
        <w:rPr>
          <w:rFonts w:ascii="Times New Roman" w:eastAsia="SimSun" w:hAnsi="Times New Roman" w:hint="eastAsia"/>
          <w:i w:val="0"/>
          <w:iCs/>
          <w:sz w:val="20"/>
          <w:lang w:val="en-US"/>
        </w:rPr>
        <w:t xml:space="preserve">In RAN1, per-beam LBT has been supported. </w:t>
      </w:r>
      <w:r>
        <w:rPr>
          <w:rFonts w:ascii="Times New Roman" w:eastAsia="SimSun" w:hAnsi="Times New Roman"/>
          <w:i w:val="0"/>
          <w:iCs/>
          <w:sz w:val="20"/>
          <w:lang w:val="en-US"/>
        </w:rPr>
        <w:t>For a COT with</w:t>
      </w:r>
      <w:r>
        <w:rPr>
          <w:rFonts w:ascii="Times New Roman" w:eastAsia="SimSun" w:hAnsi="Times New Roman"/>
          <w:sz w:val="20"/>
          <w:lang w:val="en-US"/>
        </w:rPr>
        <w:t xml:space="preserve"> </w:t>
      </w:r>
      <w:r>
        <w:rPr>
          <w:rFonts w:ascii="Times New Roman" w:eastAsia="SimSun" w:hAnsi="Times New Roman"/>
          <w:i w:val="0"/>
          <w:iCs/>
          <w:sz w:val="20"/>
          <w:lang w:val="en-US"/>
        </w:rPr>
        <w:t>SDM transmission, two different sensing schemes are supported</w:t>
      </w:r>
      <w:r>
        <w:rPr>
          <w:rFonts w:ascii="Times New Roman" w:eastAsia="SimSun" w:hAnsi="Times New Roman" w:hint="eastAsia"/>
          <w:i w:val="0"/>
          <w:iCs/>
          <w:sz w:val="20"/>
          <w:lang w:val="en-US"/>
        </w:rPr>
        <w:t>, i.e. s</w:t>
      </w:r>
      <w:r>
        <w:rPr>
          <w:rFonts w:ascii="Times New Roman" w:hAnsi="Times New Roman"/>
          <w:i w:val="0"/>
          <w:iCs/>
          <w:sz w:val="20"/>
          <w:lang w:eastAsia="ko-KR"/>
        </w:rPr>
        <w:t>ingle LBT sensing</w:t>
      </w:r>
      <w:r>
        <w:rPr>
          <w:rFonts w:ascii="Times New Roman" w:eastAsia="SimSun" w:hAnsi="Times New Roman" w:hint="eastAsia"/>
          <w:i w:val="0"/>
          <w:iCs/>
          <w:sz w:val="20"/>
          <w:lang w:val="en-US"/>
        </w:rPr>
        <w:t xml:space="preserve"> with wide beam </w:t>
      </w:r>
      <w:r>
        <w:rPr>
          <w:rFonts w:ascii="Times New Roman" w:hAnsi="Times New Roman"/>
          <w:i w:val="0"/>
          <w:iCs/>
          <w:sz w:val="20"/>
          <w:lang w:eastAsia="ko-KR"/>
        </w:rPr>
        <w:t>‘cover’ all beams to be used in the COT</w:t>
      </w:r>
      <w:r>
        <w:rPr>
          <w:rFonts w:ascii="Times New Roman" w:eastAsia="SimSun" w:hAnsi="Times New Roman" w:hint="eastAsia"/>
          <w:i w:val="0"/>
          <w:iCs/>
          <w:sz w:val="20"/>
          <w:lang w:val="en-US"/>
        </w:rPr>
        <w:t>, independent per-beam LBT simultaneous sensing for all be</w:t>
      </w:r>
      <w:r>
        <w:rPr>
          <w:rFonts w:ascii="Times New Roman" w:eastAsia="SimSun" w:hAnsi="Times New Roman" w:hint="eastAsia"/>
          <w:i w:val="0"/>
          <w:iCs/>
          <w:sz w:val="20"/>
          <w:lang w:val="en-US"/>
        </w:rPr>
        <w:t xml:space="preserve">ams to be used in the COT. </w:t>
      </w:r>
      <w:r>
        <w:rPr>
          <w:rFonts w:ascii="Times New Roman" w:eastAsia="SimSun" w:hAnsi="Times New Roman"/>
          <w:i w:val="0"/>
          <w:iCs/>
          <w:sz w:val="20"/>
          <w:lang w:val="en-US"/>
        </w:rPr>
        <w:t>For a COT with TDM transmission, three different sensing schemes are supported</w:t>
      </w:r>
      <w:r>
        <w:rPr>
          <w:rFonts w:ascii="Times New Roman" w:eastAsia="SimSun" w:hAnsi="Times New Roman" w:hint="eastAsia"/>
          <w:i w:val="0"/>
          <w:iCs/>
          <w:sz w:val="20"/>
          <w:lang w:val="en-US"/>
        </w:rPr>
        <w:t>, such as s</w:t>
      </w:r>
      <w:r>
        <w:rPr>
          <w:rFonts w:ascii="Times New Roman" w:hAnsi="Times New Roman"/>
          <w:i w:val="0"/>
          <w:iCs/>
          <w:sz w:val="20"/>
          <w:lang w:eastAsia="ko-KR"/>
        </w:rPr>
        <w:t>ingle LBT sensing</w:t>
      </w:r>
      <w:r>
        <w:rPr>
          <w:rFonts w:ascii="Times New Roman" w:eastAsia="SimSun" w:hAnsi="Times New Roman" w:hint="eastAsia"/>
          <w:i w:val="0"/>
          <w:iCs/>
          <w:sz w:val="20"/>
          <w:lang w:val="en-US"/>
        </w:rPr>
        <w:t xml:space="preserve"> with wide beam </w:t>
      </w:r>
      <w:r>
        <w:rPr>
          <w:rFonts w:ascii="Times New Roman" w:hAnsi="Times New Roman"/>
          <w:i w:val="0"/>
          <w:iCs/>
          <w:sz w:val="20"/>
          <w:lang w:eastAsia="ko-KR"/>
        </w:rPr>
        <w:t>‘cover’ all beams to be used in the COT</w:t>
      </w:r>
      <w:r>
        <w:rPr>
          <w:rFonts w:ascii="Times New Roman" w:eastAsia="SimSun" w:hAnsi="Times New Roman" w:hint="eastAsia"/>
          <w:i w:val="0"/>
          <w:iCs/>
          <w:sz w:val="20"/>
          <w:lang w:val="en-US"/>
        </w:rPr>
        <w:t>, independent per-beam LBT simultaneous sensing for beams to be used</w:t>
      </w:r>
      <w:r>
        <w:rPr>
          <w:rFonts w:ascii="Times New Roman" w:eastAsia="SimSun" w:hAnsi="Times New Roman" w:hint="eastAsia"/>
          <w:i w:val="0"/>
          <w:iCs/>
          <w:sz w:val="20"/>
          <w:lang w:val="en-US"/>
        </w:rPr>
        <w:t xml:space="preserve"> in the COT and independent per-beam LBT simultaneous sensing for beams to be used in the COT with additional requirement on Cat2 LBT. </w:t>
      </w:r>
    </w:p>
    <w:p w14:paraId="6BC6A2BB" w14:textId="77777777" w:rsidR="00465013" w:rsidRDefault="00BD77CD">
      <w:pPr>
        <w:pStyle w:val="Comments"/>
        <w:overflowPunct/>
        <w:autoSpaceDE/>
        <w:autoSpaceDN/>
        <w:adjustRightInd/>
        <w:spacing w:before="120"/>
        <w:textAlignment w:val="auto"/>
        <w:rPr>
          <w:rFonts w:ascii="Times New Roman" w:eastAsia="SimSun" w:hAnsi="Times New Roman"/>
          <w:i w:val="0"/>
          <w:iCs/>
          <w:sz w:val="20"/>
          <w:lang w:val="en-US"/>
        </w:rPr>
      </w:pPr>
      <w:r>
        <w:rPr>
          <w:rFonts w:ascii="Times New Roman" w:eastAsia="SimSun" w:hAnsi="Times New Roman" w:hint="eastAsia"/>
          <w:i w:val="0"/>
          <w:iCs/>
          <w:sz w:val="20"/>
          <w:lang w:val="en-US"/>
        </w:rPr>
        <w:t>If LBT sensing with wide beam which covers all beams is used, once LBT fails, UL transmission cannot be performed. In th</w:t>
      </w:r>
      <w:r>
        <w:rPr>
          <w:rFonts w:ascii="Times New Roman" w:eastAsia="SimSun" w:hAnsi="Times New Roman" w:hint="eastAsia"/>
          <w:i w:val="0"/>
          <w:iCs/>
          <w:sz w:val="20"/>
          <w:lang w:val="en-US"/>
        </w:rPr>
        <w:t xml:space="preserve">is case, Rel-16 LBT failure detection/recovery may be reused and there is no enhancement. If independent per-beam LBT simultaneous sensing for all beams is used, </w:t>
      </w:r>
      <w:r>
        <w:rPr>
          <w:rFonts w:ascii="Times New Roman" w:eastAsia="SimSun" w:hAnsi="Times New Roman" w:hint="eastAsia"/>
          <w:i w:val="0"/>
          <w:iCs/>
          <w:sz w:val="20"/>
          <w:lang w:val="en-US"/>
        </w:rPr>
        <w:t xml:space="preserve">LBT status of each beam will be different. </w:t>
      </w:r>
      <w:r>
        <w:rPr>
          <w:rFonts w:ascii="Times New Roman" w:eastAsia="SimSun" w:hAnsi="Times New Roman" w:hint="eastAsia"/>
          <w:i w:val="0"/>
          <w:iCs/>
          <w:sz w:val="20"/>
          <w:lang w:val="en-US"/>
        </w:rPr>
        <w:t xml:space="preserve">For this case, </w:t>
      </w:r>
      <w:r>
        <w:rPr>
          <w:rFonts w:ascii="Times New Roman" w:eastAsia="SimSun" w:hAnsi="Times New Roman" w:hint="eastAsia"/>
          <w:i w:val="0"/>
          <w:iCs/>
          <w:sz w:val="20"/>
          <w:lang w:val="en-US"/>
        </w:rPr>
        <w:t xml:space="preserve">the question </w:t>
      </w:r>
      <w:r>
        <w:rPr>
          <w:rFonts w:ascii="Times New Roman" w:eastAsia="SimSun" w:hAnsi="Times New Roman" w:hint="eastAsia"/>
          <w:i w:val="0"/>
          <w:iCs/>
          <w:sz w:val="20"/>
          <w:lang w:val="en-US"/>
        </w:rPr>
        <w:t xml:space="preserve">regarding </w:t>
      </w:r>
      <w:r>
        <w:rPr>
          <w:rFonts w:ascii="Times New Roman" w:eastAsia="SimSun" w:hAnsi="Times New Roman" w:hint="eastAsia"/>
          <w:i w:val="0"/>
          <w:iCs/>
          <w:sz w:val="20"/>
          <w:lang w:val="en-US"/>
        </w:rPr>
        <w:t>w</w:t>
      </w:r>
      <w:r>
        <w:rPr>
          <w:rFonts w:ascii="Times New Roman" w:eastAsia="SimSun" w:hAnsi="Times New Roman" w:hint="eastAsia"/>
          <w:i w:val="0"/>
          <w:iCs/>
          <w:sz w:val="20"/>
          <w:lang w:val="en-US"/>
        </w:rPr>
        <w:t>hether LBT f</w:t>
      </w:r>
      <w:r>
        <w:rPr>
          <w:rFonts w:ascii="Times New Roman" w:eastAsia="SimSun" w:hAnsi="Times New Roman" w:hint="eastAsia"/>
          <w:i w:val="0"/>
          <w:iCs/>
          <w:sz w:val="20"/>
          <w:lang w:val="en-US"/>
        </w:rPr>
        <w:t>ailure per beam is counted or LBT failure</w:t>
      </w:r>
      <w:r>
        <w:rPr>
          <w:rFonts w:ascii="Times New Roman" w:eastAsia="SimSun" w:hAnsi="Times New Roman" w:hint="eastAsia"/>
          <w:i w:val="0"/>
          <w:iCs/>
          <w:sz w:val="20"/>
          <w:lang w:val="en-US"/>
        </w:rPr>
        <w:t xml:space="preserve"> is counted as one event should be considered. </w:t>
      </w:r>
      <w:r>
        <w:rPr>
          <w:rFonts w:ascii="Times New Roman" w:eastAsia="SimSun" w:hAnsi="Times New Roman" w:hint="eastAsia"/>
          <w:i w:val="0"/>
          <w:iCs/>
          <w:sz w:val="20"/>
          <w:lang w:val="en-US"/>
        </w:rPr>
        <w:t>Also</w:t>
      </w:r>
      <w:r>
        <w:rPr>
          <w:rFonts w:ascii="Times New Roman" w:eastAsia="SimSun" w:hAnsi="Times New Roman" w:hint="eastAsia"/>
          <w:i w:val="0"/>
          <w:iCs/>
          <w:sz w:val="20"/>
          <w:lang w:val="en-US"/>
        </w:rPr>
        <w:t xml:space="preserve">, the corresponding question </w:t>
      </w:r>
      <w:r>
        <w:rPr>
          <w:rFonts w:ascii="Times New Roman" w:eastAsia="SimSun" w:hAnsi="Times New Roman" w:hint="eastAsia"/>
          <w:i w:val="0"/>
          <w:iCs/>
          <w:sz w:val="20"/>
          <w:lang w:val="en-US"/>
        </w:rPr>
        <w:t>regarding</w:t>
      </w:r>
      <w:r>
        <w:rPr>
          <w:rFonts w:ascii="Times New Roman" w:eastAsia="SimSun" w:hAnsi="Times New Roman" w:hint="eastAsia"/>
          <w:i w:val="0"/>
          <w:iCs/>
          <w:sz w:val="20"/>
          <w:lang w:val="en-US"/>
        </w:rPr>
        <w:t xml:space="preserve"> how to </w:t>
      </w:r>
      <w:r>
        <w:rPr>
          <w:rFonts w:ascii="Times New Roman" w:eastAsia="SimSun" w:hAnsi="Times New Roman" w:hint="eastAsia"/>
          <w:i w:val="0"/>
          <w:iCs/>
          <w:sz w:val="20"/>
          <w:lang w:val="en-US"/>
        </w:rPr>
        <w:t xml:space="preserve">indicate LBT failure </w:t>
      </w:r>
      <w:r>
        <w:rPr>
          <w:rFonts w:ascii="Times New Roman" w:eastAsia="SimSun" w:hAnsi="Times New Roman" w:hint="eastAsia"/>
          <w:i w:val="0"/>
          <w:iCs/>
          <w:sz w:val="20"/>
          <w:lang w:val="en-US"/>
        </w:rPr>
        <w:t>in the physical layer</w:t>
      </w:r>
      <w:r>
        <w:rPr>
          <w:rFonts w:ascii="Times New Roman" w:eastAsia="SimSun" w:hAnsi="Times New Roman" w:hint="eastAsia"/>
          <w:i w:val="0"/>
          <w:iCs/>
          <w:sz w:val="20"/>
          <w:lang w:val="en-US"/>
        </w:rPr>
        <w:t xml:space="preserve"> </w:t>
      </w:r>
      <w:r>
        <w:rPr>
          <w:rFonts w:ascii="Times New Roman" w:eastAsia="SimSun" w:hAnsi="Times New Roman" w:hint="eastAsia"/>
          <w:i w:val="0"/>
          <w:iCs/>
          <w:sz w:val="20"/>
          <w:lang w:val="en-US"/>
        </w:rPr>
        <w:t>needs to be considered, for example,</w:t>
      </w:r>
      <w:r>
        <w:rPr>
          <w:rFonts w:ascii="Times New Roman" w:eastAsia="SimSun" w:hAnsi="Times New Roman" w:hint="eastAsia"/>
          <w:i w:val="0"/>
          <w:iCs/>
          <w:sz w:val="20"/>
          <w:lang w:val="en-US"/>
        </w:rPr>
        <w:t xml:space="preserve"> all LBT failures per beam are aggre</w:t>
      </w:r>
      <w:r>
        <w:rPr>
          <w:rFonts w:ascii="Times New Roman" w:eastAsia="SimSun" w:hAnsi="Times New Roman" w:hint="eastAsia"/>
          <w:i w:val="0"/>
          <w:iCs/>
          <w:sz w:val="20"/>
          <w:lang w:val="en-US"/>
        </w:rPr>
        <w:t xml:space="preserve">gated and </w:t>
      </w:r>
      <w:r>
        <w:rPr>
          <w:rFonts w:ascii="Times New Roman" w:eastAsia="SimSun" w:hAnsi="Times New Roman" w:hint="eastAsia"/>
          <w:i w:val="0"/>
          <w:iCs/>
          <w:sz w:val="20"/>
          <w:lang w:val="en-US"/>
        </w:rPr>
        <w:t>one value is indicated</w:t>
      </w:r>
      <w:r>
        <w:rPr>
          <w:rFonts w:ascii="Times New Roman" w:eastAsia="SimSun" w:hAnsi="Times New Roman" w:hint="eastAsia"/>
          <w:i w:val="0"/>
          <w:iCs/>
          <w:sz w:val="20"/>
          <w:lang w:val="en-US"/>
        </w:rPr>
        <w:t xml:space="preserve"> or </w:t>
      </w:r>
      <w:r>
        <w:rPr>
          <w:rFonts w:ascii="Times New Roman" w:eastAsia="SimSun" w:hAnsi="Times New Roman" w:hint="eastAsia"/>
          <w:i w:val="0"/>
          <w:iCs/>
          <w:sz w:val="20"/>
          <w:lang w:val="en-US"/>
        </w:rPr>
        <w:t>L</w:t>
      </w:r>
      <w:r>
        <w:rPr>
          <w:rFonts w:ascii="Times New Roman" w:eastAsia="SimSun" w:hAnsi="Times New Roman" w:hint="eastAsia"/>
          <w:i w:val="0"/>
          <w:iCs/>
          <w:sz w:val="20"/>
          <w:lang w:val="en-US"/>
        </w:rPr>
        <w:t>BT failure per beam is indicated</w:t>
      </w:r>
      <w:r>
        <w:rPr>
          <w:rFonts w:ascii="Times New Roman" w:eastAsia="SimSun" w:hAnsi="Times New Roman" w:hint="eastAsia"/>
          <w:i w:val="0"/>
          <w:iCs/>
          <w:sz w:val="20"/>
          <w:lang w:val="en-US"/>
        </w:rPr>
        <w:t>.</w:t>
      </w:r>
      <w:r>
        <w:rPr>
          <w:rFonts w:ascii="Times New Roman" w:eastAsia="SimSun" w:hAnsi="Times New Roman" w:hint="eastAsia"/>
          <w:i w:val="0"/>
          <w:iCs/>
          <w:sz w:val="20"/>
          <w:lang w:val="en-US"/>
        </w:rPr>
        <w:t xml:space="preserve"> If the </w:t>
      </w:r>
      <w:r>
        <w:rPr>
          <w:rFonts w:ascii="Times New Roman" w:eastAsia="SimSun" w:hAnsi="Times New Roman" w:hint="eastAsia"/>
          <w:i w:val="0"/>
          <w:iCs/>
          <w:sz w:val="20"/>
          <w:lang w:val="en-US"/>
        </w:rPr>
        <w:t xml:space="preserve">latter is adopted, LBT failure per beam should be counted, which </w:t>
      </w:r>
      <w:r>
        <w:rPr>
          <w:rFonts w:ascii="Times New Roman" w:eastAsia="SimSun" w:hAnsi="Times New Roman" w:hint="eastAsia"/>
          <w:i w:val="0"/>
          <w:iCs/>
          <w:sz w:val="20"/>
          <w:lang w:val="en-US"/>
        </w:rPr>
        <w:t>has some impacts on LBT operation. Otherwise, Rel-16 LBT failure detection/reco</w:t>
      </w:r>
      <w:r>
        <w:rPr>
          <w:rFonts w:ascii="Times New Roman" w:eastAsia="SimSun" w:hAnsi="Times New Roman" w:hint="eastAsia"/>
          <w:i w:val="0"/>
          <w:iCs/>
          <w:sz w:val="20"/>
          <w:lang w:val="en-US"/>
        </w:rPr>
        <w:t>very is reused.</w:t>
      </w:r>
    </w:p>
    <w:p w14:paraId="3E5DC1DE" w14:textId="77777777" w:rsidR="00465013" w:rsidRDefault="00BD77CD">
      <w:pPr>
        <w:pStyle w:val="Comments"/>
        <w:overflowPunct/>
        <w:autoSpaceDE/>
        <w:autoSpaceDN/>
        <w:adjustRightInd/>
        <w:spacing w:before="120"/>
        <w:textAlignment w:val="auto"/>
        <w:rPr>
          <w:rFonts w:ascii="Times New Roman" w:eastAsia="SimSun" w:hAnsi="Times New Roman"/>
          <w:i w:val="0"/>
          <w:iCs/>
          <w:sz w:val="20"/>
          <w:lang w:val="en-US"/>
        </w:rPr>
      </w:pPr>
      <w:r>
        <w:rPr>
          <w:rFonts w:ascii="Times New Roman" w:eastAsia="SimSun" w:hAnsi="Times New Roman" w:hint="eastAsia"/>
          <w:b/>
          <w:bCs/>
          <w:i w:val="0"/>
          <w:iCs/>
          <w:sz w:val="20"/>
          <w:lang w:val="en-US"/>
        </w:rPr>
        <w:t xml:space="preserve">Proposal 3: </w:t>
      </w:r>
      <w:r>
        <w:rPr>
          <w:rFonts w:ascii="Times New Roman" w:eastAsia="SimSun" w:hAnsi="Times New Roman" w:hint="eastAsia"/>
          <w:sz w:val="20"/>
          <w:lang w:val="en-US"/>
        </w:rPr>
        <w:t xml:space="preserve">When LBT sensing per beam is performed, </w:t>
      </w:r>
      <w:r>
        <w:rPr>
          <w:rFonts w:ascii="Times New Roman" w:eastAsia="SimSun" w:hAnsi="Times New Roman" w:hint="eastAsia"/>
          <w:sz w:val="20"/>
          <w:lang w:val="en-US"/>
        </w:rPr>
        <w:t xml:space="preserve">whether LBT </w:t>
      </w:r>
      <w:r>
        <w:rPr>
          <w:rFonts w:ascii="Times New Roman" w:eastAsia="SimSun" w:hAnsi="Times New Roman" w:hint="eastAsia"/>
          <w:sz w:val="20"/>
          <w:lang w:val="en-US"/>
        </w:rPr>
        <w:t xml:space="preserve">failure per sensing beam is counted </w:t>
      </w:r>
      <w:r>
        <w:rPr>
          <w:rFonts w:ascii="Times New Roman" w:eastAsia="SimSun" w:hAnsi="Times New Roman" w:hint="eastAsia"/>
          <w:sz w:val="20"/>
          <w:lang w:val="en-US"/>
        </w:rPr>
        <w:t xml:space="preserve">or not </w:t>
      </w:r>
      <w:r>
        <w:rPr>
          <w:rFonts w:ascii="Times New Roman" w:eastAsia="SimSun" w:hAnsi="Times New Roman" w:hint="eastAsia"/>
          <w:sz w:val="20"/>
          <w:lang w:val="en-US"/>
        </w:rPr>
        <w:t>needs to be considered.</w:t>
      </w:r>
    </w:p>
    <w:p w14:paraId="2DE324B6" w14:textId="77777777" w:rsidR="00465013" w:rsidRDefault="00465013">
      <w:pPr>
        <w:pStyle w:val="Comments"/>
        <w:overflowPunct/>
        <w:autoSpaceDE/>
        <w:autoSpaceDN/>
        <w:adjustRightInd/>
        <w:spacing w:before="120"/>
        <w:textAlignment w:val="auto"/>
        <w:rPr>
          <w:rFonts w:ascii="Times New Roman" w:eastAsia="SimSun" w:hAnsi="Times New Roman"/>
          <w:i w:val="0"/>
          <w:iCs/>
          <w:sz w:val="20"/>
          <w:lang w:val="en-US"/>
        </w:rPr>
      </w:pPr>
    </w:p>
    <w:bookmarkEnd w:id="3"/>
    <w:bookmarkEnd w:id="4"/>
    <w:p w14:paraId="0AEA4A86" w14:textId="77777777" w:rsidR="00465013" w:rsidRDefault="00BD77CD">
      <w:pPr>
        <w:pStyle w:val="Heading1"/>
      </w:pPr>
      <w:r>
        <w:t>Conclusion</w:t>
      </w:r>
    </w:p>
    <w:p w14:paraId="5939A9EE" w14:textId="77777777" w:rsidR="00465013" w:rsidRDefault="00BD77CD">
      <w:pPr>
        <w:pStyle w:val="TOC1"/>
        <w:spacing w:before="180" w:after="180"/>
        <w:ind w:left="0" w:firstLine="0"/>
        <w:jc w:val="both"/>
      </w:pPr>
      <w:bookmarkStart w:id="5" w:name="_Hlk528066018"/>
      <w:r>
        <w:rPr>
          <w:rFonts w:ascii="Times New Roman" w:hAnsi="Times New Roman"/>
          <w:b w:val="0"/>
          <w:szCs w:val="20"/>
          <w:lang w:val="en-GB"/>
        </w:rPr>
        <w:t xml:space="preserve">Based on the discussion in section </w:t>
      </w:r>
      <w:r>
        <w:rPr>
          <w:rFonts w:ascii="Times New Roman" w:hAnsi="Times New Roman"/>
          <w:b w:val="0"/>
          <w:szCs w:val="20"/>
          <w:lang w:val="en-GB"/>
        </w:rPr>
        <w:fldChar w:fldCharType="begin"/>
      </w:r>
      <w:r>
        <w:rPr>
          <w:rFonts w:ascii="Times New Roman" w:hAnsi="Times New Roman"/>
          <w:b w:val="0"/>
          <w:szCs w:val="20"/>
          <w:lang w:val="en-GB"/>
        </w:rPr>
        <w:instrText xml:space="preserve"> REF _Ref1046415 \r \h  \* MERGEFORMAT </w:instrText>
      </w:r>
      <w:r>
        <w:rPr>
          <w:rFonts w:ascii="Times New Roman" w:hAnsi="Times New Roman"/>
          <w:b w:val="0"/>
          <w:szCs w:val="20"/>
          <w:lang w:val="en-GB"/>
        </w:rPr>
      </w:r>
      <w:r>
        <w:rPr>
          <w:rFonts w:ascii="Times New Roman" w:hAnsi="Times New Roman"/>
          <w:b w:val="0"/>
          <w:szCs w:val="20"/>
          <w:lang w:val="en-GB"/>
        </w:rPr>
        <w:fldChar w:fldCharType="separate"/>
      </w:r>
      <w:r>
        <w:rPr>
          <w:rFonts w:ascii="Times New Roman" w:hAnsi="Times New Roman"/>
          <w:b w:val="0"/>
          <w:szCs w:val="20"/>
          <w:lang w:val="en-GB"/>
        </w:rPr>
        <w:t>2</w:t>
      </w:r>
      <w:r>
        <w:rPr>
          <w:rFonts w:ascii="Times New Roman" w:hAnsi="Times New Roman"/>
          <w:b w:val="0"/>
          <w:szCs w:val="20"/>
          <w:lang w:val="en-GB"/>
        </w:rPr>
        <w:fldChar w:fldCharType="end"/>
      </w:r>
      <w:r>
        <w:rPr>
          <w:rFonts w:ascii="Times New Roman" w:hAnsi="Times New Roman"/>
          <w:b w:val="0"/>
          <w:szCs w:val="20"/>
          <w:lang w:val="en-GB"/>
        </w:rPr>
        <w:t xml:space="preserve"> we propose the following:</w:t>
      </w:r>
      <w:bookmarkEnd w:id="5"/>
    </w:p>
    <w:p w14:paraId="1438F298" w14:textId="77777777" w:rsidR="00465013" w:rsidRDefault="00BD77CD">
      <w:pPr>
        <w:overflowPunct/>
        <w:autoSpaceDE/>
        <w:autoSpaceDN/>
        <w:adjustRightInd/>
        <w:spacing w:after="180"/>
        <w:textAlignment w:val="auto"/>
        <w:rPr>
          <w:rFonts w:ascii="Times New Roman" w:eastAsia="SimSun" w:hAnsi="Times New Roman"/>
          <w:i/>
          <w:iCs/>
          <w:lang w:val="en-US"/>
        </w:rPr>
      </w:pPr>
      <w:r>
        <w:rPr>
          <w:rFonts w:ascii="Times New Roman" w:eastAsia="SimSun" w:hAnsi="Times New Roman" w:hint="eastAsia"/>
          <w:b/>
          <w:bCs/>
          <w:lang w:val="en-US"/>
        </w:rPr>
        <w:t>Proposal 1:</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operation in the shared spectrum in FR2-2, </w:t>
      </w:r>
      <w:r>
        <w:rPr>
          <w:rFonts w:ascii="Times New Roman" w:hAnsi="Times New Roman"/>
          <w:i/>
          <w:iCs/>
        </w:rPr>
        <w:t>cg-RetransmissionT</w:t>
      </w:r>
      <w:r>
        <w:rPr>
          <w:rFonts w:ascii="Times New Roman" w:hAnsi="Times New Roman"/>
          <w:i/>
          <w:iCs/>
        </w:rPr>
        <w:t>imer</w:t>
      </w:r>
      <w:r>
        <w:rPr>
          <w:rFonts w:ascii="Times New Roman" w:eastAsia="SimSun" w:hAnsi="Times New Roman" w:hint="eastAsia"/>
          <w:i/>
          <w:iCs/>
          <w:lang w:val="en-US"/>
        </w:rPr>
        <w:t xml:space="preserve"> should be optionally configured. </w:t>
      </w:r>
    </w:p>
    <w:p w14:paraId="67BF709B" w14:textId="77777777" w:rsidR="00465013" w:rsidRDefault="00BD77CD">
      <w:pPr>
        <w:spacing w:after="180"/>
        <w:rPr>
          <w:rFonts w:eastAsia="SimSun"/>
          <w:lang w:val="en-US"/>
        </w:rPr>
      </w:pPr>
      <w:r>
        <w:rPr>
          <w:rFonts w:ascii="Times New Roman" w:eastAsia="SimSun" w:hAnsi="Times New Roman" w:hint="eastAsia"/>
          <w:b/>
          <w:bCs/>
          <w:lang w:val="en-US"/>
        </w:rPr>
        <w:t>Proposal 2:</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LBT operation, when LBT mode is changed from LBT to no-LBT, LBT_COUNTER is set 0 and </w:t>
      </w:r>
      <w:r>
        <w:rPr>
          <w:rFonts w:ascii="Times New Roman" w:hAnsi="Times New Roman"/>
          <w:i/>
          <w:iCs/>
        </w:rPr>
        <w:t>lbt-FailureDetectionTimer</w:t>
      </w:r>
      <w:r>
        <w:rPr>
          <w:rFonts w:ascii="Times New Roman" w:eastAsia="SimSun" w:hAnsi="Times New Roman"/>
          <w:i/>
          <w:iCs/>
          <w:lang w:val="en-US"/>
        </w:rPr>
        <w:t xml:space="preserve"> </w:t>
      </w:r>
      <w:r>
        <w:rPr>
          <w:rFonts w:ascii="Times New Roman" w:eastAsia="SimSun" w:hAnsi="Times New Roman" w:hint="eastAsia"/>
          <w:i/>
          <w:iCs/>
          <w:lang w:val="en-US"/>
        </w:rPr>
        <w:t xml:space="preserve">is stopped, if running. All triggered consistent LBT failure(s) are canceled. If there is </w:t>
      </w:r>
      <w:r>
        <w:rPr>
          <w:rFonts w:ascii="Times New Roman" w:eastAsia="SimSun" w:hAnsi="Times New Roman" w:hint="eastAsia"/>
          <w:i/>
          <w:iCs/>
          <w:lang w:val="en-US"/>
        </w:rPr>
        <w:t>ongoing Random Access procedure which is related to consistent LBT failure, it should be stopped.</w:t>
      </w:r>
    </w:p>
    <w:p w14:paraId="364FDDC6" w14:textId="6C1F5449" w:rsidR="00465013" w:rsidRDefault="00BD77CD">
      <w:pPr>
        <w:pStyle w:val="Comments"/>
        <w:overflowPunct/>
        <w:autoSpaceDE/>
        <w:autoSpaceDN/>
        <w:adjustRightInd/>
        <w:spacing w:before="120" w:after="0"/>
        <w:textAlignment w:val="auto"/>
        <w:rPr>
          <w:rFonts w:ascii="Times New Roman" w:eastAsia="SimSun" w:hAnsi="Times New Roman"/>
          <w:sz w:val="20"/>
          <w:lang w:val="en-US"/>
        </w:rPr>
      </w:pPr>
      <w:r>
        <w:rPr>
          <w:rFonts w:ascii="Times New Roman" w:eastAsia="SimSun" w:hAnsi="Times New Roman" w:hint="eastAsia"/>
          <w:b/>
          <w:bCs/>
          <w:i w:val="0"/>
          <w:iCs/>
          <w:sz w:val="20"/>
          <w:lang w:val="en-US"/>
        </w:rPr>
        <w:t xml:space="preserve">Proposal 3: </w:t>
      </w:r>
      <w:r>
        <w:rPr>
          <w:rFonts w:ascii="Times New Roman" w:eastAsia="SimSun" w:hAnsi="Times New Roman" w:hint="eastAsia"/>
          <w:sz w:val="20"/>
          <w:lang w:val="en-US"/>
        </w:rPr>
        <w:t xml:space="preserve">When LBT sensing per </w:t>
      </w:r>
      <w:r>
        <w:rPr>
          <w:rFonts w:ascii="Times New Roman" w:eastAsia="SimSun" w:hAnsi="Times New Roman" w:hint="eastAsia"/>
          <w:sz w:val="20"/>
          <w:lang w:val="en-US"/>
        </w:rPr>
        <w:t>beam is performed, whether LBT failure per sensing beam is counted or not needs to be considered.</w:t>
      </w:r>
    </w:p>
    <w:p w14:paraId="30FBCB40" w14:textId="77777777" w:rsidR="00465013" w:rsidRDefault="00BD77CD">
      <w:pPr>
        <w:pStyle w:val="Heading1"/>
      </w:pPr>
      <w:r>
        <w:lastRenderedPageBreak/>
        <w:t>References</w:t>
      </w:r>
    </w:p>
    <w:p w14:paraId="46B11351" w14:textId="77777777" w:rsidR="00465013" w:rsidRDefault="00BD77CD">
      <w:pPr>
        <w:pStyle w:val="Reference"/>
        <w:numPr>
          <w:ilvl w:val="0"/>
          <w:numId w:val="10"/>
        </w:numPr>
        <w:rPr>
          <w:rFonts w:ascii="Times New Roman" w:hAnsi="Times New Roman"/>
        </w:rPr>
      </w:pPr>
      <w:r>
        <w:rPr>
          <w:rFonts w:ascii="Times New Roman" w:hAnsi="Times New Roman" w:hint="eastAsia"/>
        </w:rPr>
        <w:t>Draft_Minutes_report_RAN1#105-e_v020</w:t>
      </w:r>
    </w:p>
    <w:p w14:paraId="123EE5B1" w14:textId="77777777" w:rsidR="00465013" w:rsidRDefault="00BD77CD">
      <w:pPr>
        <w:pStyle w:val="Reference"/>
        <w:numPr>
          <w:ilvl w:val="0"/>
          <w:numId w:val="10"/>
        </w:numPr>
        <w:rPr>
          <w:rFonts w:ascii="Times New Roman" w:hAnsi="Times New Roman"/>
        </w:rPr>
      </w:pPr>
      <w:r>
        <w:rPr>
          <w:rFonts w:ascii="Times New Roman" w:hAnsi="Times New Roman" w:hint="eastAsia"/>
        </w:rPr>
        <w:t>Draft_Minutes_report_RAN1#107-e_v010</w:t>
      </w:r>
    </w:p>
    <w:p w14:paraId="11FE73EC" w14:textId="77777777" w:rsidR="00465013" w:rsidRDefault="00465013"/>
    <w:sectPr w:rsidR="0046501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397A7" w14:textId="77777777" w:rsidR="00BD77CD" w:rsidRDefault="00BD77CD">
      <w:pPr>
        <w:spacing w:after="0"/>
      </w:pPr>
      <w:r>
        <w:separator/>
      </w:r>
    </w:p>
  </w:endnote>
  <w:endnote w:type="continuationSeparator" w:id="0">
    <w:p w14:paraId="0F6C06E9" w14:textId="77777777" w:rsidR="00BD77CD" w:rsidRDefault="00BD77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DB49F" w14:textId="77777777" w:rsidR="00881307" w:rsidRDefault="008813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7EDB4" w14:textId="77777777" w:rsidR="00465013" w:rsidRDefault="00BD77C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C3CB6" w14:textId="77777777" w:rsidR="00881307" w:rsidRDefault="00881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61B90" w14:textId="77777777" w:rsidR="00BD77CD" w:rsidRDefault="00BD77CD">
      <w:pPr>
        <w:spacing w:after="0"/>
      </w:pPr>
      <w:r>
        <w:separator/>
      </w:r>
    </w:p>
  </w:footnote>
  <w:footnote w:type="continuationSeparator" w:id="0">
    <w:p w14:paraId="1E9BB2C5" w14:textId="77777777" w:rsidR="00BD77CD" w:rsidRDefault="00BD77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AE6D8" w14:textId="77777777" w:rsidR="00465013" w:rsidRDefault="00BD77CD">
    <w:r>
      <w:t xml:space="preserve">Page </w:t>
    </w:r>
    <w:r>
      <w:fldChar w:fldCharType="begin"/>
    </w:r>
    <w:r>
      <w:instrText>PAGE</w:instrText>
    </w:r>
    <w:r>
      <w:fldChar w:fldCharType="separate"/>
    </w:r>
    <w:r>
      <w:t>4</w:t>
    </w:r>
    <w:r>
      <w:fldChar w:fldCharType="end"/>
    </w:r>
    <w:r>
      <w:br/>
    </w:r>
    <w: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BBA2A" w14:textId="77777777" w:rsidR="00881307" w:rsidRDefault="008813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95704" w14:textId="77777777" w:rsidR="00881307" w:rsidRDefault="00881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6"/>
  </w:num>
  <w:num w:numId="6">
    <w:abstractNumId w:val="8"/>
  </w:num>
  <w:num w:numId="7">
    <w:abstractNumId w:val="2"/>
  </w:num>
  <w:num w:numId="8">
    <w:abstractNumId w:val="5"/>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2BD"/>
    <w:rsid w:val="00003F4C"/>
    <w:rsid w:val="00003FB8"/>
    <w:rsid w:val="00004E5D"/>
    <w:rsid w:val="00006B6E"/>
    <w:rsid w:val="00010B89"/>
    <w:rsid w:val="00012607"/>
    <w:rsid w:val="000144B9"/>
    <w:rsid w:val="0001514B"/>
    <w:rsid w:val="00015189"/>
    <w:rsid w:val="00015884"/>
    <w:rsid w:val="00016203"/>
    <w:rsid w:val="000169B4"/>
    <w:rsid w:val="000175C5"/>
    <w:rsid w:val="00020638"/>
    <w:rsid w:val="000225F0"/>
    <w:rsid w:val="00023210"/>
    <w:rsid w:val="000236B8"/>
    <w:rsid w:val="00024B28"/>
    <w:rsid w:val="00025ADE"/>
    <w:rsid w:val="000267A6"/>
    <w:rsid w:val="00027FF5"/>
    <w:rsid w:val="00030CA9"/>
    <w:rsid w:val="00030EE7"/>
    <w:rsid w:val="00032007"/>
    <w:rsid w:val="0003216E"/>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4F0A"/>
    <w:rsid w:val="000450C1"/>
    <w:rsid w:val="0004719C"/>
    <w:rsid w:val="0004769D"/>
    <w:rsid w:val="0005095C"/>
    <w:rsid w:val="00050D60"/>
    <w:rsid w:val="00050DF7"/>
    <w:rsid w:val="00051295"/>
    <w:rsid w:val="000522D7"/>
    <w:rsid w:val="000534A6"/>
    <w:rsid w:val="00053544"/>
    <w:rsid w:val="0005382D"/>
    <w:rsid w:val="00053ACE"/>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67A81"/>
    <w:rsid w:val="0007053F"/>
    <w:rsid w:val="00070877"/>
    <w:rsid w:val="00070ED4"/>
    <w:rsid w:val="00071B1C"/>
    <w:rsid w:val="00072407"/>
    <w:rsid w:val="000727BC"/>
    <w:rsid w:val="0007287D"/>
    <w:rsid w:val="00073A85"/>
    <w:rsid w:val="00073D40"/>
    <w:rsid w:val="0007467B"/>
    <w:rsid w:val="00074C88"/>
    <w:rsid w:val="00075A3B"/>
    <w:rsid w:val="000765F0"/>
    <w:rsid w:val="000804D1"/>
    <w:rsid w:val="00081D9F"/>
    <w:rsid w:val="00082011"/>
    <w:rsid w:val="00082FE5"/>
    <w:rsid w:val="00083185"/>
    <w:rsid w:val="00083964"/>
    <w:rsid w:val="00083B7F"/>
    <w:rsid w:val="00083F0A"/>
    <w:rsid w:val="00084C99"/>
    <w:rsid w:val="00087AD0"/>
    <w:rsid w:val="00087C91"/>
    <w:rsid w:val="000900F8"/>
    <w:rsid w:val="00092160"/>
    <w:rsid w:val="00092BF7"/>
    <w:rsid w:val="00092CDE"/>
    <w:rsid w:val="00094D35"/>
    <w:rsid w:val="0009693F"/>
    <w:rsid w:val="00097C7A"/>
    <w:rsid w:val="00097CB2"/>
    <w:rsid w:val="000A0264"/>
    <w:rsid w:val="000A138E"/>
    <w:rsid w:val="000A1DC5"/>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34B"/>
    <w:rsid w:val="000B369B"/>
    <w:rsid w:val="000B394E"/>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631E"/>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72F"/>
    <w:rsid w:val="000E2B39"/>
    <w:rsid w:val="000E2F56"/>
    <w:rsid w:val="000E4C3F"/>
    <w:rsid w:val="000E691E"/>
    <w:rsid w:val="000E71DC"/>
    <w:rsid w:val="000E7E88"/>
    <w:rsid w:val="000F0DF5"/>
    <w:rsid w:val="000F1706"/>
    <w:rsid w:val="000F1833"/>
    <w:rsid w:val="000F1AB4"/>
    <w:rsid w:val="000F1BB3"/>
    <w:rsid w:val="000F29DE"/>
    <w:rsid w:val="000F2D2C"/>
    <w:rsid w:val="000F31B0"/>
    <w:rsid w:val="000F404B"/>
    <w:rsid w:val="000F46ED"/>
    <w:rsid w:val="000F4A88"/>
    <w:rsid w:val="000F55AA"/>
    <w:rsid w:val="000F5D6E"/>
    <w:rsid w:val="000F6890"/>
    <w:rsid w:val="000F72F5"/>
    <w:rsid w:val="000F76F8"/>
    <w:rsid w:val="00100090"/>
    <w:rsid w:val="00100756"/>
    <w:rsid w:val="00101664"/>
    <w:rsid w:val="00101A30"/>
    <w:rsid w:val="001021C5"/>
    <w:rsid w:val="00102270"/>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3F74"/>
    <w:rsid w:val="00114264"/>
    <w:rsid w:val="001154A0"/>
    <w:rsid w:val="001157E5"/>
    <w:rsid w:val="0011681A"/>
    <w:rsid w:val="00120DC5"/>
    <w:rsid w:val="00122E9F"/>
    <w:rsid w:val="00124157"/>
    <w:rsid w:val="00124605"/>
    <w:rsid w:val="00124FAB"/>
    <w:rsid w:val="001251CA"/>
    <w:rsid w:val="0012587C"/>
    <w:rsid w:val="0012685F"/>
    <w:rsid w:val="00126906"/>
    <w:rsid w:val="001276E8"/>
    <w:rsid w:val="00127734"/>
    <w:rsid w:val="0012782C"/>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47F46"/>
    <w:rsid w:val="0015156A"/>
    <w:rsid w:val="00151C45"/>
    <w:rsid w:val="00151EBC"/>
    <w:rsid w:val="001529F1"/>
    <w:rsid w:val="00154F0D"/>
    <w:rsid w:val="0015550E"/>
    <w:rsid w:val="00156A1B"/>
    <w:rsid w:val="00157B0E"/>
    <w:rsid w:val="00160DF5"/>
    <w:rsid w:val="00161520"/>
    <w:rsid w:val="00161684"/>
    <w:rsid w:val="001631EC"/>
    <w:rsid w:val="00163A23"/>
    <w:rsid w:val="001664BA"/>
    <w:rsid w:val="00166529"/>
    <w:rsid w:val="00167072"/>
    <w:rsid w:val="00167375"/>
    <w:rsid w:val="00171154"/>
    <w:rsid w:val="001718BD"/>
    <w:rsid w:val="00171FB0"/>
    <w:rsid w:val="00172089"/>
    <w:rsid w:val="00172DF0"/>
    <w:rsid w:val="00172E67"/>
    <w:rsid w:val="00172F81"/>
    <w:rsid w:val="0017334F"/>
    <w:rsid w:val="00173A68"/>
    <w:rsid w:val="0017421B"/>
    <w:rsid w:val="0017431C"/>
    <w:rsid w:val="0017481F"/>
    <w:rsid w:val="00174B27"/>
    <w:rsid w:val="00174DA5"/>
    <w:rsid w:val="00175099"/>
    <w:rsid w:val="00175D7B"/>
    <w:rsid w:val="00176084"/>
    <w:rsid w:val="001807A6"/>
    <w:rsid w:val="00180D4B"/>
    <w:rsid w:val="001816B1"/>
    <w:rsid w:val="00182061"/>
    <w:rsid w:val="0018244D"/>
    <w:rsid w:val="001844C1"/>
    <w:rsid w:val="00184DAB"/>
    <w:rsid w:val="001855A4"/>
    <w:rsid w:val="001856E0"/>
    <w:rsid w:val="00186181"/>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A7CC7"/>
    <w:rsid w:val="001B13E3"/>
    <w:rsid w:val="001B149F"/>
    <w:rsid w:val="001B14B5"/>
    <w:rsid w:val="001B15F0"/>
    <w:rsid w:val="001B17E6"/>
    <w:rsid w:val="001B1F37"/>
    <w:rsid w:val="001B1FCF"/>
    <w:rsid w:val="001B2173"/>
    <w:rsid w:val="001B2659"/>
    <w:rsid w:val="001B29BD"/>
    <w:rsid w:val="001B2A59"/>
    <w:rsid w:val="001B3C3B"/>
    <w:rsid w:val="001B3DF4"/>
    <w:rsid w:val="001B3E30"/>
    <w:rsid w:val="001B3E8F"/>
    <w:rsid w:val="001B40F8"/>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54BB"/>
    <w:rsid w:val="001D68EF"/>
    <w:rsid w:val="001D6FC9"/>
    <w:rsid w:val="001D735C"/>
    <w:rsid w:val="001E050B"/>
    <w:rsid w:val="001E083F"/>
    <w:rsid w:val="001E0BF7"/>
    <w:rsid w:val="001E0C92"/>
    <w:rsid w:val="001E2131"/>
    <w:rsid w:val="001E270B"/>
    <w:rsid w:val="001E2C1D"/>
    <w:rsid w:val="001E305D"/>
    <w:rsid w:val="001E41E7"/>
    <w:rsid w:val="001E42E0"/>
    <w:rsid w:val="001E4C3F"/>
    <w:rsid w:val="001E6C66"/>
    <w:rsid w:val="001E6E31"/>
    <w:rsid w:val="001F0C37"/>
    <w:rsid w:val="001F2E34"/>
    <w:rsid w:val="001F3549"/>
    <w:rsid w:val="001F53F3"/>
    <w:rsid w:val="001F5A46"/>
    <w:rsid w:val="001F5EB0"/>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83"/>
    <w:rsid w:val="002101B3"/>
    <w:rsid w:val="00210394"/>
    <w:rsid w:val="00211024"/>
    <w:rsid w:val="00211051"/>
    <w:rsid w:val="00211107"/>
    <w:rsid w:val="00211835"/>
    <w:rsid w:val="00211E72"/>
    <w:rsid w:val="00213964"/>
    <w:rsid w:val="00213979"/>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1864"/>
    <w:rsid w:val="0023258C"/>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DDD"/>
    <w:rsid w:val="00243EE3"/>
    <w:rsid w:val="00244860"/>
    <w:rsid w:val="002456FD"/>
    <w:rsid w:val="00246759"/>
    <w:rsid w:val="002473A8"/>
    <w:rsid w:val="002473CD"/>
    <w:rsid w:val="002475EE"/>
    <w:rsid w:val="00247B74"/>
    <w:rsid w:val="00250370"/>
    <w:rsid w:val="00250C0D"/>
    <w:rsid w:val="002516FB"/>
    <w:rsid w:val="00252EC4"/>
    <w:rsid w:val="00253F03"/>
    <w:rsid w:val="002547E4"/>
    <w:rsid w:val="00254CA8"/>
    <w:rsid w:val="002573FA"/>
    <w:rsid w:val="00257517"/>
    <w:rsid w:val="002601CE"/>
    <w:rsid w:val="00260E9E"/>
    <w:rsid w:val="00261917"/>
    <w:rsid w:val="00262EA9"/>
    <w:rsid w:val="00263083"/>
    <w:rsid w:val="002636F4"/>
    <w:rsid w:val="00263718"/>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4467"/>
    <w:rsid w:val="00274C2F"/>
    <w:rsid w:val="00274F40"/>
    <w:rsid w:val="0027649D"/>
    <w:rsid w:val="002770D6"/>
    <w:rsid w:val="002808B8"/>
    <w:rsid w:val="00280A53"/>
    <w:rsid w:val="00280CFE"/>
    <w:rsid w:val="002812E0"/>
    <w:rsid w:val="002816FD"/>
    <w:rsid w:val="00281DDD"/>
    <w:rsid w:val="00282659"/>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045E"/>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422"/>
    <w:rsid w:val="002B49C8"/>
    <w:rsid w:val="002B4CA8"/>
    <w:rsid w:val="002B4FD6"/>
    <w:rsid w:val="002B51D8"/>
    <w:rsid w:val="002B5960"/>
    <w:rsid w:val="002B6DF4"/>
    <w:rsid w:val="002C005C"/>
    <w:rsid w:val="002C222E"/>
    <w:rsid w:val="002C3247"/>
    <w:rsid w:val="002C372F"/>
    <w:rsid w:val="002C3E2A"/>
    <w:rsid w:val="002C40F8"/>
    <w:rsid w:val="002C5151"/>
    <w:rsid w:val="002C5AFE"/>
    <w:rsid w:val="002C64FA"/>
    <w:rsid w:val="002C6B36"/>
    <w:rsid w:val="002C7A6B"/>
    <w:rsid w:val="002C7A8A"/>
    <w:rsid w:val="002C7B14"/>
    <w:rsid w:val="002D0462"/>
    <w:rsid w:val="002D0F8C"/>
    <w:rsid w:val="002D15F7"/>
    <w:rsid w:val="002D23AA"/>
    <w:rsid w:val="002D333C"/>
    <w:rsid w:val="002D3599"/>
    <w:rsid w:val="002D38AF"/>
    <w:rsid w:val="002D3D55"/>
    <w:rsid w:val="002D43A7"/>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5F4"/>
    <w:rsid w:val="002F2DAD"/>
    <w:rsid w:val="002F33F3"/>
    <w:rsid w:val="002F3A32"/>
    <w:rsid w:val="002F4FEF"/>
    <w:rsid w:val="002F58A5"/>
    <w:rsid w:val="002F5962"/>
    <w:rsid w:val="002F654D"/>
    <w:rsid w:val="002F6B8B"/>
    <w:rsid w:val="0030020E"/>
    <w:rsid w:val="00300AE8"/>
    <w:rsid w:val="0030286F"/>
    <w:rsid w:val="00302CEE"/>
    <w:rsid w:val="00302E0A"/>
    <w:rsid w:val="0030340C"/>
    <w:rsid w:val="0030447F"/>
    <w:rsid w:val="00304C1C"/>
    <w:rsid w:val="00304F79"/>
    <w:rsid w:val="00304F9F"/>
    <w:rsid w:val="00306371"/>
    <w:rsid w:val="00306541"/>
    <w:rsid w:val="003065DE"/>
    <w:rsid w:val="0030668B"/>
    <w:rsid w:val="00307936"/>
    <w:rsid w:val="003079FE"/>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695"/>
    <w:rsid w:val="00322AEB"/>
    <w:rsid w:val="003231A9"/>
    <w:rsid w:val="00323DDC"/>
    <w:rsid w:val="0032538E"/>
    <w:rsid w:val="00325BCB"/>
    <w:rsid w:val="00326C1F"/>
    <w:rsid w:val="003275F6"/>
    <w:rsid w:val="00330875"/>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135C"/>
    <w:rsid w:val="003423FD"/>
    <w:rsid w:val="003428A5"/>
    <w:rsid w:val="00343020"/>
    <w:rsid w:val="00343DE3"/>
    <w:rsid w:val="003443DA"/>
    <w:rsid w:val="003446FD"/>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6A7E"/>
    <w:rsid w:val="00367AFC"/>
    <w:rsid w:val="00370F18"/>
    <w:rsid w:val="00371033"/>
    <w:rsid w:val="0037237F"/>
    <w:rsid w:val="003730C8"/>
    <w:rsid w:val="0037363C"/>
    <w:rsid w:val="0037448E"/>
    <w:rsid w:val="00374FAB"/>
    <w:rsid w:val="003767DA"/>
    <w:rsid w:val="00376C88"/>
    <w:rsid w:val="00377C5D"/>
    <w:rsid w:val="00377C81"/>
    <w:rsid w:val="00380B23"/>
    <w:rsid w:val="00381317"/>
    <w:rsid w:val="00381D46"/>
    <w:rsid w:val="00381DCF"/>
    <w:rsid w:val="00383B68"/>
    <w:rsid w:val="00384756"/>
    <w:rsid w:val="0038494E"/>
    <w:rsid w:val="003853E4"/>
    <w:rsid w:val="00385EF6"/>
    <w:rsid w:val="003876DF"/>
    <w:rsid w:val="003879F7"/>
    <w:rsid w:val="0039042C"/>
    <w:rsid w:val="003904C6"/>
    <w:rsid w:val="003908FC"/>
    <w:rsid w:val="00390CBD"/>
    <w:rsid w:val="003920C0"/>
    <w:rsid w:val="003942E1"/>
    <w:rsid w:val="00394B48"/>
    <w:rsid w:val="00395668"/>
    <w:rsid w:val="00395A52"/>
    <w:rsid w:val="00395AC8"/>
    <w:rsid w:val="00396837"/>
    <w:rsid w:val="0039741A"/>
    <w:rsid w:val="00397632"/>
    <w:rsid w:val="003A054D"/>
    <w:rsid w:val="003A1979"/>
    <w:rsid w:val="003A2A66"/>
    <w:rsid w:val="003A2AB2"/>
    <w:rsid w:val="003A4498"/>
    <w:rsid w:val="003A475C"/>
    <w:rsid w:val="003A5251"/>
    <w:rsid w:val="003A74A7"/>
    <w:rsid w:val="003A77CA"/>
    <w:rsid w:val="003B00ED"/>
    <w:rsid w:val="003B1314"/>
    <w:rsid w:val="003B17B0"/>
    <w:rsid w:val="003B1A43"/>
    <w:rsid w:val="003B2BB0"/>
    <w:rsid w:val="003B39B1"/>
    <w:rsid w:val="003B3DCB"/>
    <w:rsid w:val="003B3DE9"/>
    <w:rsid w:val="003B4DB1"/>
    <w:rsid w:val="003B5795"/>
    <w:rsid w:val="003C0B1B"/>
    <w:rsid w:val="003C1287"/>
    <w:rsid w:val="003C146B"/>
    <w:rsid w:val="003C149A"/>
    <w:rsid w:val="003C1556"/>
    <w:rsid w:val="003C17F5"/>
    <w:rsid w:val="003C2A1E"/>
    <w:rsid w:val="003C3102"/>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C12"/>
    <w:rsid w:val="003D6E04"/>
    <w:rsid w:val="003D77AE"/>
    <w:rsid w:val="003E013B"/>
    <w:rsid w:val="003E0ED6"/>
    <w:rsid w:val="003E218F"/>
    <w:rsid w:val="003E2AA8"/>
    <w:rsid w:val="003E3AC5"/>
    <w:rsid w:val="003E64BC"/>
    <w:rsid w:val="003E6A1E"/>
    <w:rsid w:val="003E6E6A"/>
    <w:rsid w:val="003E7401"/>
    <w:rsid w:val="003E7FCE"/>
    <w:rsid w:val="003F1000"/>
    <w:rsid w:val="003F1B25"/>
    <w:rsid w:val="003F2ABA"/>
    <w:rsid w:val="003F36C9"/>
    <w:rsid w:val="003F4E12"/>
    <w:rsid w:val="003F5290"/>
    <w:rsid w:val="003F5DCA"/>
    <w:rsid w:val="003F675C"/>
    <w:rsid w:val="003F6EB9"/>
    <w:rsid w:val="003F7879"/>
    <w:rsid w:val="003F795B"/>
    <w:rsid w:val="003F7CAE"/>
    <w:rsid w:val="00401D2B"/>
    <w:rsid w:val="00402027"/>
    <w:rsid w:val="00402745"/>
    <w:rsid w:val="00402D69"/>
    <w:rsid w:val="00402E9A"/>
    <w:rsid w:val="00403285"/>
    <w:rsid w:val="00404D45"/>
    <w:rsid w:val="00404E1B"/>
    <w:rsid w:val="00405EAC"/>
    <w:rsid w:val="00406622"/>
    <w:rsid w:val="00406FC6"/>
    <w:rsid w:val="00407176"/>
    <w:rsid w:val="004075A6"/>
    <w:rsid w:val="00407690"/>
    <w:rsid w:val="0040771F"/>
    <w:rsid w:val="00407BE7"/>
    <w:rsid w:val="004104B5"/>
    <w:rsid w:val="00411059"/>
    <w:rsid w:val="004125A5"/>
    <w:rsid w:val="00412D35"/>
    <w:rsid w:val="00413EA6"/>
    <w:rsid w:val="00413EF6"/>
    <w:rsid w:val="00413FE9"/>
    <w:rsid w:val="004156C5"/>
    <w:rsid w:val="0041586D"/>
    <w:rsid w:val="00415957"/>
    <w:rsid w:val="00416B79"/>
    <w:rsid w:val="00417BD0"/>
    <w:rsid w:val="004218F3"/>
    <w:rsid w:val="00423667"/>
    <w:rsid w:val="00423D6B"/>
    <w:rsid w:val="00425359"/>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3B00"/>
    <w:rsid w:val="00443EF2"/>
    <w:rsid w:val="00444DD3"/>
    <w:rsid w:val="0044561F"/>
    <w:rsid w:val="00445BE1"/>
    <w:rsid w:val="00447465"/>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5013"/>
    <w:rsid w:val="00465789"/>
    <w:rsid w:val="00465C05"/>
    <w:rsid w:val="00465D51"/>
    <w:rsid w:val="00466348"/>
    <w:rsid w:val="0046669A"/>
    <w:rsid w:val="004666B0"/>
    <w:rsid w:val="0046671F"/>
    <w:rsid w:val="0046762F"/>
    <w:rsid w:val="004679C0"/>
    <w:rsid w:val="00467B43"/>
    <w:rsid w:val="00467C61"/>
    <w:rsid w:val="00471E8F"/>
    <w:rsid w:val="00472620"/>
    <w:rsid w:val="00472E77"/>
    <w:rsid w:val="004740E2"/>
    <w:rsid w:val="00474917"/>
    <w:rsid w:val="00475204"/>
    <w:rsid w:val="00476417"/>
    <w:rsid w:val="004764F1"/>
    <w:rsid w:val="00480A00"/>
    <w:rsid w:val="00480DF2"/>
    <w:rsid w:val="00482FDE"/>
    <w:rsid w:val="00483654"/>
    <w:rsid w:val="004842BF"/>
    <w:rsid w:val="0048483B"/>
    <w:rsid w:val="00485035"/>
    <w:rsid w:val="00485880"/>
    <w:rsid w:val="00486646"/>
    <w:rsid w:val="00486C5C"/>
    <w:rsid w:val="00487F9D"/>
    <w:rsid w:val="004913F2"/>
    <w:rsid w:val="0049233C"/>
    <w:rsid w:val="0049279B"/>
    <w:rsid w:val="004942E7"/>
    <w:rsid w:val="00494F68"/>
    <w:rsid w:val="00495A8B"/>
    <w:rsid w:val="0049616A"/>
    <w:rsid w:val="00496F73"/>
    <w:rsid w:val="004A030D"/>
    <w:rsid w:val="004A0894"/>
    <w:rsid w:val="004A1FD3"/>
    <w:rsid w:val="004A2AAE"/>
    <w:rsid w:val="004A36E7"/>
    <w:rsid w:val="004A42CB"/>
    <w:rsid w:val="004A4368"/>
    <w:rsid w:val="004A4759"/>
    <w:rsid w:val="004A594D"/>
    <w:rsid w:val="004A61E9"/>
    <w:rsid w:val="004A6210"/>
    <w:rsid w:val="004A75A1"/>
    <w:rsid w:val="004A781D"/>
    <w:rsid w:val="004B01C3"/>
    <w:rsid w:val="004B04F8"/>
    <w:rsid w:val="004B0E79"/>
    <w:rsid w:val="004B16E6"/>
    <w:rsid w:val="004B28A0"/>
    <w:rsid w:val="004B2D33"/>
    <w:rsid w:val="004B2E28"/>
    <w:rsid w:val="004B4233"/>
    <w:rsid w:val="004B4D0D"/>
    <w:rsid w:val="004B672D"/>
    <w:rsid w:val="004C02FC"/>
    <w:rsid w:val="004C172E"/>
    <w:rsid w:val="004C2BC0"/>
    <w:rsid w:val="004C3124"/>
    <w:rsid w:val="004C3556"/>
    <w:rsid w:val="004C3F9E"/>
    <w:rsid w:val="004C4AE4"/>
    <w:rsid w:val="004C5008"/>
    <w:rsid w:val="004C5EA3"/>
    <w:rsid w:val="004C6671"/>
    <w:rsid w:val="004C7887"/>
    <w:rsid w:val="004C793F"/>
    <w:rsid w:val="004D02A1"/>
    <w:rsid w:val="004D054B"/>
    <w:rsid w:val="004D0BD1"/>
    <w:rsid w:val="004D1547"/>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595"/>
    <w:rsid w:val="004E4707"/>
    <w:rsid w:val="004E4D21"/>
    <w:rsid w:val="004E50FC"/>
    <w:rsid w:val="004E6201"/>
    <w:rsid w:val="004E7292"/>
    <w:rsid w:val="004E7691"/>
    <w:rsid w:val="004E7C1C"/>
    <w:rsid w:val="004F0F78"/>
    <w:rsid w:val="004F2534"/>
    <w:rsid w:val="004F2C9A"/>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12F"/>
    <w:rsid w:val="0050632E"/>
    <w:rsid w:val="00506F93"/>
    <w:rsid w:val="0050707E"/>
    <w:rsid w:val="00507B8E"/>
    <w:rsid w:val="00510282"/>
    <w:rsid w:val="00511DD8"/>
    <w:rsid w:val="005122DE"/>
    <w:rsid w:val="0051282F"/>
    <w:rsid w:val="005132E0"/>
    <w:rsid w:val="005140FF"/>
    <w:rsid w:val="005142B2"/>
    <w:rsid w:val="005150B4"/>
    <w:rsid w:val="005152C9"/>
    <w:rsid w:val="005153C6"/>
    <w:rsid w:val="0051543F"/>
    <w:rsid w:val="00516262"/>
    <w:rsid w:val="005162CE"/>
    <w:rsid w:val="00516E89"/>
    <w:rsid w:val="005200B8"/>
    <w:rsid w:val="00520EC4"/>
    <w:rsid w:val="00522963"/>
    <w:rsid w:val="00522A0B"/>
    <w:rsid w:val="005235AE"/>
    <w:rsid w:val="005250D3"/>
    <w:rsid w:val="005252E8"/>
    <w:rsid w:val="0052565C"/>
    <w:rsid w:val="005257F7"/>
    <w:rsid w:val="00526D78"/>
    <w:rsid w:val="00527F96"/>
    <w:rsid w:val="005302C0"/>
    <w:rsid w:val="0053104E"/>
    <w:rsid w:val="005320BE"/>
    <w:rsid w:val="00532485"/>
    <w:rsid w:val="0053276C"/>
    <w:rsid w:val="00533435"/>
    <w:rsid w:val="00535406"/>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48E1"/>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77C12"/>
    <w:rsid w:val="00580B1D"/>
    <w:rsid w:val="00581B10"/>
    <w:rsid w:val="00581CD0"/>
    <w:rsid w:val="005820A8"/>
    <w:rsid w:val="00583813"/>
    <w:rsid w:val="00584B07"/>
    <w:rsid w:val="005850A8"/>
    <w:rsid w:val="00585CEB"/>
    <w:rsid w:val="00585ED6"/>
    <w:rsid w:val="005905F2"/>
    <w:rsid w:val="0059080A"/>
    <w:rsid w:val="005910C5"/>
    <w:rsid w:val="00592CC3"/>
    <w:rsid w:val="005930C8"/>
    <w:rsid w:val="00594122"/>
    <w:rsid w:val="005948C6"/>
    <w:rsid w:val="00594C0F"/>
    <w:rsid w:val="005951F7"/>
    <w:rsid w:val="00595528"/>
    <w:rsid w:val="00595584"/>
    <w:rsid w:val="00597306"/>
    <w:rsid w:val="00597538"/>
    <w:rsid w:val="005A03F0"/>
    <w:rsid w:val="005A04DB"/>
    <w:rsid w:val="005A0E95"/>
    <w:rsid w:val="005A3387"/>
    <w:rsid w:val="005A38CA"/>
    <w:rsid w:val="005A50F0"/>
    <w:rsid w:val="005A5C7B"/>
    <w:rsid w:val="005A6080"/>
    <w:rsid w:val="005A6680"/>
    <w:rsid w:val="005A67F7"/>
    <w:rsid w:val="005B0A6A"/>
    <w:rsid w:val="005B0C7C"/>
    <w:rsid w:val="005B139B"/>
    <w:rsid w:val="005B1559"/>
    <w:rsid w:val="005B2111"/>
    <w:rsid w:val="005B236A"/>
    <w:rsid w:val="005B30A3"/>
    <w:rsid w:val="005B32F5"/>
    <w:rsid w:val="005B367C"/>
    <w:rsid w:val="005B4A0A"/>
    <w:rsid w:val="005B5894"/>
    <w:rsid w:val="005B5BC3"/>
    <w:rsid w:val="005B6552"/>
    <w:rsid w:val="005C03D1"/>
    <w:rsid w:val="005C0763"/>
    <w:rsid w:val="005C0B1A"/>
    <w:rsid w:val="005C0E6A"/>
    <w:rsid w:val="005C1B81"/>
    <w:rsid w:val="005C2E20"/>
    <w:rsid w:val="005C4057"/>
    <w:rsid w:val="005C58F6"/>
    <w:rsid w:val="005C6455"/>
    <w:rsid w:val="005C6AA2"/>
    <w:rsid w:val="005C7213"/>
    <w:rsid w:val="005D0303"/>
    <w:rsid w:val="005D1691"/>
    <w:rsid w:val="005D3EFD"/>
    <w:rsid w:val="005D42C6"/>
    <w:rsid w:val="005D47C1"/>
    <w:rsid w:val="005D61F3"/>
    <w:rsid w:val="005D65DB"/>
    <w:rsid w:val="005D6DFE"/>
    <w:rsid w:val="005D6F20"/>
    <w:rsid w:val="005D6FF2"/>
    <w:rsid w:val="005E0032"/>
    <w:rsid w:val="005E0050"/>
    <w:rsid w:val="005E0ABE"/>
    <w:rsid w:val="005E0F87"/>
    <w:rsid w:val="005E13ED"/>
    <w:rsid w:val="005E1ED9"/>
    <w:rsid w:val="005E2CFD"/>
    <w:rsid w:val="005E3F08"/>
    <w:rsid w:val="005E4302"/>
    <w:rsid w:val="005E49FA"/>
    <w:rsid w:val="005E5553"/>
    <w:rsid w:val="005E6A1F"/>
    <w:rsid w:val="005E6D81"/>
    <w:rsid w:val="005F0A50"/>
    <w:rsid w:val="005F0F78"/>
    <w:rsid w:val="005F1A18"/>
    <w:rsid w:val="005F2561"/>
    <w:rsid w:val="005F2946"/>
    <w:rsid w:val="005F2A19"/>
    <w:rsid w:val="005F2BD7"/>
    <w:rsid w:val="005F2D37"/>
    <w:rsid w:val="005F3124"/>
    <w:rsid w:val="005F4AA0"/>
    <w:rsid w:val="005F51AD"/>
    <w:rsid w:val="005F5AF9"/>
    <w:rsid w:val="005F74F1"/>
    <w:rsid w:val="005F7963"/>
    <w:rsid w:val="005F7D5A"/>
    <w:rsid w:val="006003E1"/>
    <w:rsid w:val="00601253"/>
    <w:rsid w:val="006013A4"/>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337"/>
    <w:rsid w:val="0062463F"/>
    <w:rsid w:val="00625EE6"/>
    <w:rsid w:val="006260B5"/>
    <w:rsid w:val="0062612F"/>
    <w:rsid w:val="00626476"/>
    <w:rsid w:val="006266CC"/>
    <w:rsid w:val="00626997"/>
    <w:rsid w:val="0062707B"/>
    <w:rsid w:val="00627D6E"/>
    <w:rsid w:val="0063078A"/>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3837"/>
    <w:rsid w:val="006447F7"/>
    <w:rsid w:val="00645D46"/>
    <w:rsid w:val="0064605E"/>
    <w:rsid w:val="00646229"/>
    <w:rsid w:val="00646871"/>
    <w:rsid w:val="006471CC"/>
    <w:rsid w:val="00647511"/>
    <w:rsid w:val="006515E2"/>
    <w:rsid w:val="006517FF"/>
    <w:rsid w:val="006526B1"/>
    <w:rsid w:val="00652954"/>
    <w:rsid w:val="00652EE8"/>
    <w:rsid w:val="006548B9"/>
    <w:rsid w:val="00654AE4"/>
    <w:rsid w:val="006565A1"/>
    <w:rsid w:val="00657793"/>
    <w:rsid w:val="006600A8"/>
    <w:rsid w:val="00660B99"/>
    <w:rsid w:val="00660E81"/>
    <w:rsid w:val="0066129B"/>
    <w:rsid w:val="0066169E"/>
    <w:rsid w:val="00661B75"/>
    <w:rsid w:val="0066234E"/>
    <w:rsid w:val="00662B21"/>
    <w:rsid w:val="006630CE"/>
    <w:rsid w:val="00663698"/>
    <w:rsid w:val="00663DA8"/>
    <w:rsid w:val="00664551"/>
    <w:rsid w:val="00664A31"/>
    <w:rsid w:val="00665B90"/>
    <w:rsid w:val="0066608B"/>
    <w:rsid w:val="00666985"/>
    <w:rsid w:val="00667057"/>
    <w:rsid w:val="00667F04"/>
    <w:rsid w:val="00670A70"/>
    <w:rsid w:val="00671608"/>
    <w:rsid w:val="00672193"/>
    <w:rsid w:val="00672BD8"/>
    <w:rsid w:val="00672BF0"/>
    <w:rsid w:val="00673A41"/>
    <w:rsid w:val="00676590"/>
    <w:rsid w:val="006765D2"/>
    <w:rsid w:val="00677802"/>
    <w:rsid w:val="00677A5D"/>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0D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EFC"/>
    <w:rsid w:val="006A0F29"/>
    <w:rsid w:val="006A1A58"/>
    <w:rsid w:val="006A3E32"/>
    <w:rsid w:val="006A4687"/>
    <w:rsid w:val="006A4792"/>
    <w:rsid w:val="006A47C6"/>
    <w:rsid w:val="006A55DA"/>
    <w:rsid w:val="006A69C5"/>
    <w:rsid w:val="006A7953"/>
    <w:rsid w:val="006A7967"/>
    <w:rsid w:val="006B0165"/>
    <w:rsid w:val="006B08DA"/>
    <w:rsid w:val="006B0D57"/>
    <w:rsid w:val="006B188A"/>
    <w:rsid w:val="006B1955"/>
    <w:rsid w:val="006B25D7"/>
    <w:rsid w:val="006B3282"/>
    <w:rsid w:val="006B33F3"/>
    <w:rsid w:val="006B39AA"/>
    <w:rsid w:val="006B406B"/>
    <w:rsid w:val="006B512D"/>
    <w:rsid w:val="006B5453"/>
    <w:rsid w:val="006B5EC1"/>
    <w:rsid w:val="006B6710"/>
    <w:rsid w:val="006B778E"/>
    <w:rsid w:val="006B7DB8"/>
    <w:rsid w:val="006C01F9"/>
    <w:rsid w:val="006C088A"/>
    <w:rsid w:val="006C0A9E"/>
    <w:rsid w:val="006C0FB5"/>
    <w:rsid w:val="006C13D1"/>
    <w:rsid w:val="006C1F55"/>
    <w:rsid w:val="006C1FD2"/>
    <w:rsid w:val="006C31F7"/>
    <w:rsid w:val="006C591F"/>
    <w:rsid w:val="006C5C6B"/>
    <w:rsid w:val="006C5CC7"/>
    <w:rsid w:val="006C6053"/>
    <w:rsid w:val="006C6372"/>
    <w:rsid w:val="006C6B41"/>
    <w:rsid w:val="006C707C"/>
    <w:rsid w:val="006D02FC"/>
    <w:rsid w:val="006D2903"/>
    <w:rsid w:val="006D35AC"/>
    <w:rsid w:val="006D490B"/>
    <w:rsid w:val="006D54F4"/>
    <w:rsid w:val="006D58D6"/>
    <w:rsid w:val="006D62FD"/>
    <w:rsid w:val="006D6C7E"/>
    <w:rsid w:val="006D7533"/>
    <w:rsid w:val="006D7604"/>
    <w:rsid w:val="006E032F"/>
    <w:rsid w:val="006E1125"/>
    <w:rsid w:val="006E163D"/>
    <w:rsid w:val="006E1B12"/>
    <w:rsid w:val="006E1FC1"/>
    <w:rsid w:val="006E237E"/>
    <w:rsid w:val="006E2653"/>
    <w:rsid w:val="006E2722"/>
    <w:rsid w:val="006E2D1E"/>
    <w:rsid w:val="006E3684"/>
    <w:rsid w:val="006E5567"/>
    <w:rsid w:val="006E61AE"/>
    <w:rsid w:val="006E7384"/>
    <w:rsid w:val="006E74F4"/>
    <w:rsid w:val="006E7A52"/>
    <w:rsid w:val="006E7EC7"/>
    <w:rsid w:val="006F00A3"/>
    <w:rsid w:val="006F1244"/>
    <w:rsid w:val="006F19C8"/>
    <w:rsid w:val="006F2958"/>
    <w:rsid w:val="006F470B"/>
    <w:rsid w:val="006F50FF"/>
    <w:rsid w:val="006F5A1E"/>
    <w:rsid w:val="006F6466"/>
    <w:rsid w:val="006F7546"/>
    <w:rsid w:val="00700FE1"/>
    <w:rsid w:val="0070130F"/>
    <w:rsid w:val="007020E5"/>
    <w:rsid w:val="00702A26"/>
    <w:rsid w:val="0070313B"/>
    <w:rsid w:val="00703544"/>
    <w:rsid w:val="00706F74"/>
    <w:rsid w:val="007074F4"/>
    <w:rsid w:val="007111F4"/>
    <w:rsid w:val="00712AA0"/>
    <w:rsid w:val="00712BB4"/>
    <w:rsid w:val="00712CBA"/>
    <w:rsid w:val="0071348C"/>
    <w:rsid w:val="00714ACB"/>
    <w:rsid w:val="0071650A"/>
    <w:rsid w:val="00716E78"/>
    <w:rsid w:val="00716FF5"/>
    <w:rsid w:val="0071756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3986"/>
    <w:rsid w:val="00744B9D"/>
    <w:rsid w:val="00745F3E"/>
    <w:rsid w:val="00746542"/>
    <w:rsid w:val="0074756D"/>
    <w:rsid w:val="0074796C"/>
    <w:rsid w:val="0075115E"/>
    <w:rsid w:val="00752C4D"/>
    <w:rsid w:val="0075343D"/>
    <w:rsid w:val="00753527"/>
    <w:rsid w:val="007535B6"/>
    <w:rsid w:val="00754C0D"/>
    <w:rsid w:val="007551B7"/>
    <w:rsid w:val="00755346"/>
    <w:rsid w:val="00755381"/>
    <w:rsid w:val="007565C4"/>
    <w:rsid w:val="00756CA8"/>
    <w:rsid w:val="00756D67"/>
    <w:rsid w:val="00761C00"/>
    <w:rsid w:val="007627F5"/>
    <w:rsid w:val="00762E46"/>
    <w:rsid w:val="007637D4"/>
    <w:rsid w:val="007646A2"/>
    <w:rsid w:val="007657A9"/>
    <w:rsid w:val="00766CE2"/>
    <w:rsid w:val="007678AC"/>
    <w:rsid w:val="0077129D"/>
    <w:rsid w:val="00772076"/>
    <w:rsid w:val="00772AF8"/>
    <w:rsid w:val="00772BF4"/>
    <w:rsid w:val="007731F6"/>
    <w:rsid w:val="00774AB5"/>
    <w:rsid w:val="00775C5C"/>
    <w:rsid w:val="00775D11"/>
    <w:rsid w:val="00775D23"/>
    <w:rsid w:val="007762F4"/>
    <w:rsid w:val="00776E2A"/>
    <w:rsid w:val="007774BC"/>
    <w:rsid w:val="00777D18"/>
    <w:rsid w:val="00780413"/>
    <w:rsid w:val="00780A90"/>
    <w:rsid w:val="00780CF1"/>
    <w:rsid w:val="00781520"/>
    <w:rsid w:val="00782395"/>
    <w:rsid w:val="007845B1"/>
    <w:rsid w:val="00784611"/>
    <w:rsid w:val="00787A26"/>
    <w:rsid w:val="00790D2C"/>
    <w:rsid w:val="00791114"/>
    <w:rsid w:val="007925A7"/>
    <w:rsid w:val="007926BC"/>
    <w:rsid w:val="00792C2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533D"/>
    <w:rsid w:val="007B638F"/>
    <w:rsid w:val="007B7794"/>
    <w:rsid w:val="007B7B54"/>
    <w:rsid w:val="007C06D6"/>
    <w:rsid w:val="007C156D"/>
    <w:rsid w:val="007C2B45"/>
    <w:rsid w:val="007C311C"/>
    <w:rsid w:val="007C37D7"/>
    <w:rsid w:val="007C3893"/>
    <w:rsid w:val="007C38DB"/>
    <w:rsid w:val="007C39F2"/>
    <w:rsid w:val="007C3EFF"/>
    <w:rsid w:val="007C5287"/>
    <w:rsid w:val="007C55E0"/>
    <w:rsid w:val="007C59A2"/>
    <w:rsid w:val="007C6C7E"/>
    <w:rsid w:val="007C784B"/>
    <w:rsid w:val="007D01E1"/>
    <w:rsid w:val="007D06D3"/>
    <w:rsid w:val="007D0DB1"/>
    <w:rsid w:val="007D116C"/>
    <w:rsid w:val="007D210A"/>
    <w:rsid w:val="007D24FF"/>
    <w:rsid w:val="007D37F4"/>
    <w:rsid w:val="007D68FA"/>
    <w:rsid w:val="007D72E9"/>
    <w:rsid w:val="007D737E"/>
    <w:rsid w:val="007D7613"/>
    <w:rsid w:val="007D7AAB"/>
    <w:rsid w:val="007D7D98"/>
    <w:rsid w:val="007E10D3"/>
    <w:rsid w:val="007E135F"/>
    <w:rsid w:val="007E140E"/>
    <w:rsid w:val="007E1EF7"/>
    <w:rsid w:val="007E235E"/>
    <w:rsid w:val="007E2959"/>
    <w:rsid w:val="007E2BD4"/>
    <w:rsid w:val="007E3196"/>
    <w:rsid w:val="007E3971"/>
    <w:rsid w:val="007E41E2"/>
    <w:rsid w:val="007E4363"/>
    <w:rsid w:val="007E44E9"/>
    <w:rsid w:val="007E4743"/>
    <w:rsid w:val="007E5B01"/>
    <w:rsid w:val="007E648C"/>
    <w:rsid w:val="007E6598"/>
    <w:rsid w:val="007E7C58"/>
    <w:rsid w:val="007F1461"/>
    <w:rsid w:val="007F204E"/>
    <w:rsid w:val="007F28DB"/>
    <w:rsid w:val="007F2F36"/>
    <w:rsid w:val="007F3A03"/>
    <w:rsid w:val="007F3C4C"/>
    <w:rsid w:val="007F424E"/>
    <w:rsid w:val="007F4B86"/>
    <w:rsid w:val="007F5606"/>
    <w:rsid w:val="007F5F73"/>
    <w:rsid w:val="007F6E6F"/>
    <w:rsid w:val="007F72A2"/>
    <w:rsid w:val="007F7990"/>
    <w:rsid w:val="007F7CEE"/>
    <w:rsid w:val="007F7EA8"/>
    <w:rsid w:val="00800BAB"/>
    <w:rsid w:val="00800F2C"/>
    <w:rsid w:val="008019AD"/>
    <w:rsid w:val="008024BA"/>
    <w:rsid w:val="008043AD"/>
    <w:rsid w:val="00804EEB"/>
    <w:rsid w:val="0080509D"/>
    <w:rsid w:val="00806150"/>
    <w:rsid w:val="008062B0"/>
    <w:rsid w:val="00807028"/>
    <w:rsid w:val="008104DD"/>
    <w:rsid w:val="00811258"/>
    <w:rsid w:val="008122F6"/>
    <w:rsid w:val="00812894"/>
    <w:rsid w:val="0081401C"/>
    <w:rsid w:val="00814DCC"/>
    <w:rsid w:val="008152D2"/>
    <w:rsid w:val="00815835"/>
    <w:rsid w:val="00816100"/>
    <w:rsid w:val="00816319"/>
    <w:rsid w:val="008174F1"/>
    <w:rsid w:val="00817CFB"/>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2F82"/>
    <w:rsid w:val="008334BD"/>
    <w:rsid w:val="00833D2C"/>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662"/>
    <w:rsid w:val="00867814"/>
    <w:rsid w:val="008710A5"/>
    <w:rsid w:val="0087171B"/>
    <w:rsid w:val="0087182B"/>
    <w:rsid w:val="0087189D"/>
    <w:rsid w:val="00875006"/>
    <w:rsid w:val="008750D3"/>
    <w:rsid w:val="00877202"/>
    <w:rsid w:val="008773FC"/>
    <w:rsid w:val="00877E38"/>
    <w:rsid w:val="00880408"/>
    <w:rsid w:val="008806FC"/>
    <w:rsid w:val="00880713"/>
    <w:rsid w:val="008807C0"/>
    <w:rsid w:val="00881307"/>
    <w:rsid w:val="0088218F"/>
    <w:rsid w:val="008823E1"/>
    <w:rsid w:val="008831F1"/>
    <w:rsid w:val="00883667"/>
    <w:rsid w:val="00883C16"/>
    <w:rsid w:val="00884D07"/>
    <w:rsid w:val="008854E0"/>
    <w:rsid w:val="00885D07"/>
    <w:rsid w:val="0088625D"/>
    <w:rsid w:val="008865FE"/>
    <w:rsid w:val="008875BE"/>
    <w:rsid w:val="008878D4"/>
    <w:rsid w:val="008900A8"/>
    <w:rsid w:val="0089020D"/>
    <w:rsid w:val="008906E9"/>
    <w:rsid w:val="008908D6"/>
    <w:rsid w:val="00890F01"/>
    <w:rsid w:val="00891087"/>
    <w:rsid w:val="00891BBE"/>
    <w:rsid w:val="00892C43"/>
    <w:rsid w:val="0089334D"/>
    <w:rsid w:val="0089362F"/>
    <w:rsid w:val="008942B9"/>
    <w:rsid w:val="008959D1"/>
    <w:rsid w:val="008964CC"/>
    <w:rsid w:val="00896CA5"/>
    <w:rsid w:val="008975AE"/>
    <w:rsid w:val="008A028E"/>
    <w:rsid w:val="008A14D0"/>
    <w:rsid w:val="008A1680"/>
    <w:rsid w:val="008A198C"/>
    <w:rsid w:val="008A23E5"/>
    <w:rsid w:val="008A2A0B"/>
    <w:rsid w:val="008A3FFC"/>
    <w:rsid w:val="008A4D5D"/>
    <w:rsid w:val="008A50F2"/>
    <w:rsid w:val="008A5175"/>
    <w:rsid w:val="008A5AA1"/>
    <w:rsid w:val="008A6B16"/>
    <w:rsid w:val="008A7004"/>
    <w:rsid w:val="008A796A"/>
    <w:rsid w:val="008B1168"/>
    <w:rsid w:val="008B1E8D"/>
    <w:rsid w:val="008B22FE"/>
    <w:rsid w:val="008B2F8E"/>
    <w:rsid w:val="008B3A0B"/>
    <w:rsid w:val="008B4C21"/>
    <w:rsid w:val="008B4F09"/>
    <w:rsid w:val="008B593F"/>
    <w:rsid w:val="008B5D0F"/>
    <w:rsid w:val="008C058E"/>
    <w:rsid w:val="008C1763"/>
    <w:rsid w:val="008C3CA3"/>
    <w:rsid w:val="008C4A20"/>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3DFD"/>
    <w:rsid w:val="008E4052"/>
    <w:rsid w:val="008E4057"/>
    <w:rsid w:val="008E4127"/>
    <w:rsid w:val="008E67AD"/>
    <w:rsid w:val="008E6BC2"/>
    <w:rsid w:val="008E6FFD"/>
    <w:rsid w:val="008F00B7"/>
    <w:rsid w:val="008F00F0"/>
    <w:rsid w:val="008F0243"/>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C8F"/>
    <w:rsid w:val="00903D93"/>
    <w:rsid w:val="0090498F"/>
    <w:rsid w:val="00905E2B"/>
    <w:rsid w:val="00907A14"/>
    <w:rsid w:val="0091050D"/>
    <w:rsid w:val="0091057F"/>
    <w:rsid w:val="0091069C"/>
    <w:rsid w:val="00910790"/>
    <w:rsid w:val="00910C5E"/>
    <w:rsid w:val="00912E03"/>
    <w:rsid w:val="00913AC3"/>
    <w:rsid w:val="00913ACA"/>
    <w:rsid w:val="00913ACE"/>
    <w:rsid w:val="00915C33"/>
    <w:rsid w:val="00915DAB"/>
    <w:rsid w:val="00921DDE"/>
    <w:rsid w:val="00922904"/>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57C"/>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3084"/>
    <w:rsid w:val="00963D07"/>
    <w:rsid w:val="0096514D"/>
    <w:rsid w:val="00965908"/>
    <w:rsid w:val="00966C33"/>
    <w:rsid w:val="00966DD7"/>
    <w:rsid w:val="00971546"/>
    <w:rsid w:val="00971DA3"/>
    <w:rsid w:val="0097231E"/>
    <w:rsid w:val="0097339C"/>
    <w:rsid w:val="009733CD"/>
    <w:rsid w:val="00973E83"/>
    <w:rsid w:val="009749A8"/>
    <w:rsid w:val="00974ACE"/>
    <w:rsid w:val="00974DB5"/>
    <w:rsid w:val="009750EE"/>
    <w:rsid w:val="0097673B"/>
    <w:rsid w:val="00976AC5"/>
    <w:rsid w:val="009801F1"/>
    <w:rsid w:val="00980439"/>
    <w:rsid w:val="00981A69"/>
    <w:rsid w:val="00981EE8"/>
    <w:rsid w:val="009821DE"/>
    <w:rsid w:val="00982A65"/>
    <w:rsid w:val="00983557"/>
    <w:rsid w:val="00983805"/>
    <w:rsid w:val="00983C6C"/>
    <w:rsid w:val="00985FA3"/>
    <w:rsid w:val="00987687"/>
    <w:rsid w:val="00990BE0"/>
    <w:rsid w:val="00991426"/>
    <w:rsid w:val="009916A5"/>
    <w:rsid w:val="00991A9F"/>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48A"/>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D44"/>
    <w:rsid w:val="009D0F88"/>
    <w:rsid w:val="009D12D4"/>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49DC"/>
    <w:rsid w:val="009E636A"/>
    <w:rsid w:val="009E6500"/>
    <w:rsid w:val="009E721D"/>
    <w:rsid w:val="009E7385"/>
    <w:rsid w:val="009E76C2"/>
    <w:rsid w:val="009F0EBE"/>
    <w:rsid w:val="009F109E"/>
    <w:rsid w:val="009F1222"/>
    <w:rsid w:val="009F163B"/>
    <w:rsid w:val="009F188F"/>
    <w:rsid w:val="009F18CB"/>
    <w:rsid w:val="009F1BAA"/>
    <w:rsid w:val="009F20AE"/>
    <w:rsid w:val="009F3F1B"/>
    <w:rsid w:val="009F3FD8"/>
    <w:rsid w:val="009F4D5C"/>
    <w:rsid w:val="009F5723"/>
    <w:rsid w:val="009F5BEF"/>
    <w:rsid w:val="009F619B"/>
    <w:rsid w:val="009F61FF"/>
    <w:rsid w:val="009F63F8"/>
    <w:rsid w:val="009F703D"/>
    <w:rsid w:val="00A00674"/>
    <w:rsid w:val="00A0081C"/>
    <w:rsid w:val="00A015DD"/>
    <w:rsid w:val="00A01B16"/>
    <w:rsid w:val="00A0254E"/>
    <w:rsid w:val="00A02A33"/>
    <w:rsid w:val="00A0301A"/>
    <w:rsid w:val="00A03BE5"/>
    <w:rsid w:val="00A03DC0"/>
    <w:rsid w:val="00A04969"/>
    <w:rsid w:val="00A0754B"/>
    <w:rsid w:val="00A07F36"/>
    <w:rsid w:val="00A101CD"/>
    <w:rsid w:val="00A10715"/>
    <w:rsid w:val="00A10DFA"/>
    <w:rsid w:val="00A118F8"/>
    <w:rsid w:val="00A13618"/>
    <w:rsid w:val="00A1492F"/>
    <w:rsid w:val="00A15361"/>
    <w:rsid w:val="00A15641"/>
    <w:rsid w:val="00A1597A"/>
    <w:rsid w:val="00A16859"/>
    <w:rsid w:val="00A17641"/>
    <w:rsid w:val="00A200AF"/>
    <w:rsid w:val="00A20FD6"/>
    <w:rsid w:val="00A2249F"/>
    <w:rsid w:val="00A22503"/>
    <w:rsid w:val="00A22917"/>
    <w:rsid w:val="00A22933"/>
    <w:rsid w:val="00A229C1"/>
    <w:rsid w:val="00A22A68"/>
    <w:rsid w:val="00A22A83"/>
    <w:rsid w:val="00A239EC"/>
    <w:rsid w:val="00A23C72"/>
    <w:rsid w:val="00A25A25"/>
    <w:rsid w:val="00A25F97"/>
    <w:rsid w:val="00A2694F"/>
    <w:rsid w:val="00A2740A"/>
    <w:rsid w:val="00A2788D"/>
    <w:rsid w:val="00A279AF"/>
    <w:rsid w:val="00A30A51"/>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5F62"/>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40C9"/>
    <w:rsid w:val="00A65288"/>
    <w:rsid w:val="00A652A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AEA"/>
    <w:rsid w:val="00A97B54"/>
    <w:rsid w:val="00A97D9B"/>
    <w:rsid w:val="00AA1B93"/>
    <w:rsid w:val="00AA2260"/>
    <w:rsid w:val="00AA3344"/>
    <w:rsid w:val="00AA40D1"/>
    <w:rsid w:val="00AA4655"/>
    <w:rsid w:val="00AA4893"/>
    <w:rsid w:val="00AA4CC8"/>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6BAC"/>
    <w:rsid w:val="00AB757C"/>
    <w:rsid w:val="00AB7839"/>
    <w:rsid w:val="00AC0ACB"/>
    <w:rsid w:val="00AC1D45"/>
    <w:rsid w:val="00AC23F6"/>
    <w:rsid w:val="00AC2AC0"/>
    <w:rsid w:val="00AC3211"/>
    <w:rsid w:val="00AC3965"/>
    <w:rsid w:val="00AC3DCD"/>
    <w:rsid w:val="00AC5B7B"/>
    <w:rsid w:val="00AC61AE"/>
    <w:rsid w:val="00AC67B5"/>
    <w:rsid w:val="00AC6A44"/>
    <w:rsid w:val="00AC6F25"/>
    <w:rsid w:val="00AC7A5F"/>
    <w:rsid w:val="00AD0792"/>
    <w:rsid w:val="00AD1105"/>
    <w:rsid w:val="00AD1838"/>
    <w:rsid w:val="00AD1E6D"/>
    <w:rsid w:val="00AD298B"/>
    <w:rsid w:val="00AD321A"/>
    <w:rsid w:val="00AD3521"/>
    <w:rsid w:val="00AD3FAC"/>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BB3"/>
    <w:rsid w:val="00AE6A59"/>
    <w:rsid w:val="00AE6ABE"/>
    <w:rsid w:val="00AE744E"/>
    <w:rsid w:val="00AF0790"/>
    <w:rsid w:val="00AF0E2C"/>
    <w:rsid w:val="00AF0EDD"/>
    <w:rsid w:val="00AF1CFB"/>
    <w:rsid w:val="00AF2816"/>
    <w:rsid w:val="00AF4246"/>
    <w:rsid w:val="00AF4572"/>
    <w:rsid w:val="00AF5E87"/>
    <w:rsid w:val="00AF5F7C"/>
    <w:rsid w:val="00AF7224"/>
    <w:rsid w:val="00AF754E"/>
    <w:rsid w:val="00B00258"/>
    <w:rsid w:val="00B02B1A"/>
    <w:rsid w:val="00B02F11"/>
    <w:rsid w:val="00B0389C"/>
    <w:rsid w:val="00B03D6A"/>
    <w:rsid w:val="00B0470A"/>
    <w:rsid w:val="00B04B1B"/>
    <w:rsid w:val="00B065BE"/>
    <w:rsid w:val="00B06815"/>
    <w:rsid w:val="00B076C2"/>
    <w:rsid w:val="00B079CA"/>
    <w:rsid w:val="00B07D5C"/>
    <w:rsid w:val="00B10E06"/>
    <w:rsid w:val="00B10EAD"/>
    <w:rsid w:val="00B10F81"/>
    <w:rsid w:val="00B11802"/>
    <w:rsid w:val="00B11EC0"/>
    <w:rsid w:val="00B1214B"/>
    <w:rsid w:val="00B1505A"/>
    <w:rsid w:val="00B15FF5"/>
    <w:rsid w:val="00B1646E"/>
    <w:rsid w:val="00B200A5"/>
    <w:rsid w:val="00B2084B"/>
    <w:rsid w:val="00B21697"/>
    <w:rsid w:val="00B2243E"/>
    <w:rsid w:val="00B22857"/>
    <w:rsid w:val="00B22D1F"/>
    <w:rsid w:val="00B2303F"/>
    <w:rsid w:val="00B25EF3"/>
    <w:rsid w:val="00B316DD"/>
    <w:rsid w:val="00B3197F"/>
    <w:rsid w:val="00B31AE7"/>
    <w:rsid w:val="00B32157"/>
    <w:rsid w:val="00B326F5"/>
    <w:rsid w:val="00B33C90"/>
    <w:rsid w:val="00B33EB8"/>
    <w:rsid w:val="00B3550C"/>
    <w:rsid w:val="00B36250"/>
    <w:rsid w:val="00B3684A"/>
    <w:rsid w:val="00B37002"/>
    <w:rsid w:val="00B3789B"/>
    <w:rsid w:val="00B40876"/>
    <w:rsid w:val="00B414DF"/>
    <w:rsid w:val="00B42052"/>
    <w:rsid w:val="00B42AE3"/>
    <w:rsid w:val="00B432DF"/>
    <w:rsid w:val="00B4363C"/>
    <w:rsid w:val="00B4417B"/>
    <w:rsid w:val="00B44638"/>
    <w:rsid w:val="00B45CC3"/>
    <w:rsid w:val="00B4653B"/>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395B"/>
    <w:rsid w:val="00B663CA"/>
    <w:rsid w:val="00B66AF1"/>
    <w:rsid w:val="00B66B0A"/>
    <w:rsid w:val="00B679DA"/>
    <w:rsid w:val="00B704A3"/>
    <w:rsid w:val="00B70878"/>
    <w:rsid w:val="00B70A6C"/>
    <w:rsid w:val="00B721A4"/>
    <w:rsid w:val="00B7261D"/>
    <w:rsid w:val="00B731CE"/>
    <w:rsid w:val="00B734A7"/>
    <w:rsid w:val="00B73963"/>
    <w:rsid w:val="00B74A5C"/>
    <w:rsid w:val="00B769E9"/>
    <w:rsid w:val="00B80040"/>
    <w:rsid w:val="00B80220"/>
    <w:rsid w:val="00B8052F"/>
    <w:rsid w:val="00B80A4D"/>
    <w:rsid w:val="00B82CF3"/>
    <w:rsid w:val="00B8388E"/>
    <w:rsid w:val="00B8419D"/>
    <w:rsid w:val="00B84487"/>
    <w:rsid w:val="00B85B9B"/>
    <w:rsid w:val="00B8610A"/>
    <w:rsid w:val="00B86A05"/>
    <w:rsid w:val="00B872CD"/>
    <w:rsid w:val="00B87DBA"/>
    <w:rsid w:val="00B87FF3"/>
    <w:rsid w:val="00B91375"/>
    <w:rsid w:val="00B916EB"/>
    <w:rsid w:val="00B91FA9"/>
    <w:rsid w:val="00B9262B"/>
    <w:rsid w:val="00B92E4D"/>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34F2"/>
    <w:rsid w:val="00BA36D2"/>
    <w:rsid w:val="00BA4098"/>
    <w:rsid w:val="00BA41B8"/>
    <w:rsid w:val="00BA4507"/>
    <w:rsid w:val="00BA48E0"/>
    <w:rsid w:val="00BA5877"/>
    <w:rsid w:val="00BA66A0"/>
    <w:rsid w:val="00BA6A30"/>
    <w:rsid w:val="00BA7084"/>
    <w:rsid w:val="00BA735B"/>
    <w:rsid w:val="00BA7726"/>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C1E"/>
    <w:rsid w:val="00BC7EA4"/>
    <w:rsid w:val="00BC7EB3"/>
    <w:rsid w:val="00BD00FD"/>
    <w:rsid w:val="00BD2D7C"/>
    <w:rsid w:val="00BD48DE"/>
    <w:rsid w:val="00BD5A2C"/>
    <w:rsid w:val="00BD68CB"/>
    <w:rsid w:val="00BD6EAD"/>
    <w:rsid w:val="00BD77CD"/>
    <w:rsid w:val="00BD7B52"/>
    <w:rsid w:val="00BD7BD1"/>
    <w:rsid w:val="00BE16F4"/>
    <w:rsid w:val="00BE1AB4"/>
    <w:rsid w:val="00BE27D5"/>
    <w:rsid w:val="00BE32F9"/>
    <w:rsid w:val="00BE3A00"/>
    <w:rsid w:val="00BE3A0E"/>
    <w:rsid w:val="00BE41E6"/>
    <w:rsid w:val="00BE4CE7"/>
    <w:rsid w:val="00BE601E"/>
    <w:rsid w:val="00BE6F4A"/>
    <w:rsid w:val="00BF0DC7"/>
    <w:rsid w:val="00BF14D5"/>
    <w:rsid w:val="00BF1A7A"/>
    <w:rsid w:val="00BF28E0"/>
    <w:rsid w:val="00BF45C5"/>
    <w:rsid w:val="00BF4796"/>
    <w:rsid w:val="00BF4872"/>
    <w:rsid w:val="00BF489E"/>
    <w:rsid w:val="00BF68D3"/>
    <w:rsid w:val="00BF6927"/>
    <w:rsid w:val="00BF77BE"/>
    <w:rsid w:val="00BF79F6"/>
    <w:rsid w:val="00BF7C8D"/>
    <w:rsid w:val="00BF7D51"/>
    <w:rsid w:val="00C00AD1"/>
    <w:rsid w:val="00C00BED"/>
    <w:rsid w:val="00C00D12"/>
    <w:rsid w:val="00C02234"/>
    <w:rsid w:val="00C03EEE"/>
    <w:rsid w:val="00C0470F"/>
    <w:rsid w:val="00C04882"/>
    <w:rsid w:val="00C05A9A"/>
    <w:rsid w:val="00C0625F"/>
    <w:rsid w:val="00C0644F"/>
    <w:rsid w:val="00C06FAE"/>
    <w:rsid w:val="00C07855"/>
    <w:rsid w:val="00C07C4F"/>
    <w:rsid w:val="00C11060"/>
    <w:rsid w:val="00C11181"/>
    <w:rsid w:val="00C116FB"/>
    <w:rsid w:val="00C1327B"/>
    <w:rsid w:val="00C13687"/>
    <w:rsid w:val="00C13826"/>
    <w:rsid w:val="00C147BD"/>
    <w:rsid w:val="00C14904"/>
    <w:rsid w:val="00C15621"/>
    <w:rsid w:val="00C15DF4"/>
    <w:rsid w:val="00C16175"/>
    <w:rsid w:val="00C16581"/>
    <w:rsid w:val="00C173A9"/>
    <w:rsid w:val="00C17FD0"/>
    <w:rsid w:val="00C20CCF"/>
    <w:rsid w:val="00C20EA6"/>
    <w:rsid w:val="00C21057"/>
    <w:rsid w:val="00C2193D"/>
    <w:rsid w:val="00C21FB6"/>
    <w:rsid w:val="00C22920"/>
    <w:rsid w:val="00C2319F"/>
    <w:rsid w:val="00C23331"/>
    <w:rsid w:val="00C236F1"/>
    <w:rsid w:val="00C240E0"/>
    <w:rsid w:val="00C2588E"/>
    <w:rsid w:val="00C25AD1"/>
    <w:rsid w:val="00C262D6"/>
    <w:rsid w:val="00C26332"/>
    <w:rsid w:val="00C26D00"/>
    <w:rsid w:val="00C27AD0"/>
    <w:rsid w:val="00C307B0"/>
    <w:rsid w:val="00C308FB"/>
    <w:rsid w:val="00C31DD6"/>
    <w:rsid w:val="00C32111"/>
    <w:rsid w:val="00C33BEE"/>
    <w:rsid w:val="00C34ABE"/>
    <w:rsid w:val="00C34C3C"/>
    <w:rsid w:val="00C34C60"/>
    <w:rsid w:val="00C35DA0"/>
    <w:rsid w:val="00C36241"/>
    <w:rsid w:val="00C36DEE"/>
    <w:rsid w:val="00C36E07"/>
    <w:rsid w:val="00C36F5F"/>
    <w:rsid w:val="00C37EEA"/>
    <w:rsid w:val="00C405E2"/>
    <w:rsid w:val="00C41606"/>
    <w:rsid w:val="00C418C0"/>
    <w:rsid w:val="00C4195E"/>
    <w:rsid w:val="00C41B5A"/>
    <w:rsid w:val="00C42169"/>
    <w:rsid w:val="00C426FD"/>
    <w:rsid w:val="00C4437F"/>
    <w:rsid w:val="00C457C8"/>
    <w:rsid w:val="00C45B7D"/>
    <w:rsid w:val="00C45BFF"/>
    <w:rsid w:val="00C46040"/>
    <w:rsid w:val="00C465F8"/>
    <w:rsid w:val="00C4713D"/>
    <w:rsid w:val="00C4740A"/>
    <w:rsid w:val="00C47E97"/>
    <w:rsid w:val="00C50005"/>
    <w:rsid w:val="00C501AC"/>
    <w:rsid w:val="00C51455"/>
    <w:rsid w:val="00C5212E"/>
    <w:rsid w:val="00C526E3"/>
    <w:rsid w:val="00C535CC"/>
    <w:rsid w:val="00C53D55"/>
    <w:rsid w:val="00C5651D"/>
    <w:rsid w:val="00C57968"/>
    <w:rsid w:val="00C57C8A"/>
    <w:rsid w:val="00C60A5A"/>
    <w:rsid w:val="00C60E7B"/>
    <w:rsid w:val="00C60EA5"/>
    <w:rsid w:val="00C61CAE"/>
    <w:rsid w:val="00C627A8"/>
    <w:rsid w:val="00C62C7E"/>
    <w:rsid w:val="00C631C5"/>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0BC3"/>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9C4"/>
    <w:rsid w:val="00C95D29"/>
    <w:rsid w:val="00C95DE0"/>
    <w:rsid w:val="00C95E3C"/>
    <w:rsid w:val="00C96296"/>
    <w:rsid w:val="00C96489"/>
    <w:rsid w:val="00C965E4"/>
    <w:rsid w:val="00C97F3D"/>
    <w:rsid w:val="00CA01BF"/>
    <w:rsid w:val="00CA06B5"/>
    <w:rsid w:val="00CA121C"/>
    <w:rsid w:val="00CA2EAA"/>
    <w:rsid w:val="00CA2FBB"/>
    <w:rsid w:val="00CA324F"/>
    <w:rsid w:val="00CA40A0"/>
    <w:rsid w:val="00CA42C0"/>
    <w:rsid w:val="00CA449A"/>
    <w:rsid w:val="00CA7DFB"/>
    <w:rsid w:val="00CB0787"/>
    <w:rsid w:val="00CB2895"/>
    <w:rsid w:val="00CB2C50"/>
    <w:rsid w:val="00CB30A3"/>
    <w:rsid w:val="00CB584D"/>
    <w:rsid w:val="00CB6273"/>
    <w:rsid w:val="00CB7344"/>
    <w:rsid w:val="00CC024C"/>
    <w:rsid w:val="00CC045F"/>
    <w:rsid w:val="00CC0D84"/>
    <w:rsid w:val="00CC12DA"/>
    <w:rsid w:val="00CC1819"/>
    <w:rsid w:val="00CC18CB"/>
    <w:rsid w:val="00CC22A0"/>
    <w:rsid w:val="00CC295B"/>
    <w:rsid w:val="00CC2EFB"/>
    <w:rsid w:val="00CC3189"/>
    <w:rsid w:val="00CC3340"/>
    <w:rsid w:val="00CC4695"/>
    <w:rsid w:val="00CC47B6"/>
    <w:rsid w:val="00CC4EEC"/>
    <w:rsid w:val="00CC4F91"/>
    <w:rsid w:val="00CC52CB"/>
    <w:rsid w:val="00CC544B"/>
    <w:rsid w:val="00CC5550"/>
    <w:rsid w:val="00CC6022"/>
    <w:rsid w:val="00CC6386"/>
    <w:rsid w:val="00CC66CB"/>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C1B"/>
    <w:rsid w:val="00CF0380"/>
    <w:rsid w:val="00CF1277"/>
    <w:rsid w:val="00CF3701"/>
    <w:rsid w:val="00CF37CA"/>
    <w:rsid w:val="00CF44D0"/>
    <w:rsid w:val="00CF6003"/>
    <w:rsid w:val="00CF6420"/>
    <w:rsid w:val="00CF701A"/>
    <w:rsid w:val="00CF793C"/>
    <w:rsid w:val="00D0124C"/>
    <w:rsid w:val="00D012A8"/>
    <w:rsid w:val="00D01360"/>
    <w:rsid w:val="00D014CB"/>
    <w:rsid w:val="00D01B38"/>
    <w:rsid w:val="00D03C2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52A0"/>
    <w:rsid w:val="00D2601A"/>
    <w:rsid w:val="00D26FBF"/>
    <w:rsid w:val="00D27C6F"/>
    <w:rsid w:val="00D27F30"/>
    <w:rsid w:val="00D27F3E"/>
    <w:rsid w:val="00D31FE4"/>
    <w:rsid w:val="00D32A35"/>
    <w:rsid w:val="00D33008"/>
    <w:rsid w:val="00D33210"/>
    <w:rsid w:val="00D3359F"/>
    <w:rsid w:val="00D336F7"/>
    <w:rsid w:val="00D33E69"/>
    <w:rsid w:val="00D34155"/>
    <w:rsid w:val="00D362C4"/>
    <w:rsid w:val="00D3703A"/>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A4D"/>
    <w:rsid w:val="00D52F91"/>
    <w:rsid w:val="00D538E3"/>
    <w:rsid w:val="00D54070"/>
    <w:rsid w:val="00D54310"/>
    <w:rsid w:val="00D548EA"/>
    <w:rsid w:val="00D55BE2"/>
    <w:rsid w:val="00D574F9"/>
    <w:rsid w:val="00D57EA7"/>
    <w:rsid w:val="00D60039"/>
    <w:rsid w:val="00D61403"/>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117D"/>
    <w:rsid w:val="00D92CCA"/>
    <w:rsid w:val="00D94230"/>
    <w:rsid w:val="00D94D89"/>
    <w:rsid w:val="00D95770"/>
    <w:rsid w:val="00D9600C"/>
    <w:rsid w:val="00D961B1"/>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57C8"/>
    <w:rsid w:val="00DA70DC"/>
    <w:rsid w:val="00DB00A9"/>
    <w:rsid w:val="00DB00FC"/>
    <w:rsid w:val="00DB0E0F"/>
    <w:rsid w:val="00DB1739"/>
    <w:rsid w:val="00DB2241"/>
    <w:rsid w:val="00DB2BBA"/>
    <w:rsid w:val="00DB2F4E"/>
    <w:rsid w:val="00DB3243"/>
    <w:rsid w:val="00DB396A"/>
    <w:rsid w:val="00DB3988"/>
    <w:rsid w:val="00DB418A"/>
    <w:rsid w:val="00DB4D60"/>
    <w:rsid w:val="00DB5450"/>
    <w:rsid w:val="00DB6195"/>
    <w:rsid w:val="00DB6713"/>
    <w:rsid w:val="00DB68A4"/>
    <w:rsid w:val="00DB7B22"/>
    <w:rsid w:val="00DC0749"/>
    <w:rsid w:val="00DC12CD"/>
    <w:rsid w:val="00DC25B3"/>
    <w:rsid w:val="00DC2ACE"/>
    <w:rsid w:val="00DC4AFF"/>
    <w:rsid w:val="00DC4D6D"/>
    <w:rsid w:val="00DC4FFE"/>
    <w:rsid w:val="00DC5041"/>
    <w:rsid w:val="00DC56BB"/>
    <w:rsid w:val="00DC6219"/>
    <w:rsid w:val="00DC65AC"/>
    <w:rsid w:val="00DC6680"/>
    <w:rsid w:val="00DC7BD5"/>
    <w:rsid w:val="00DD00E7"/>
    <w:rsid w:val="00DD12D4"/>
    <w:rsid w:val="00DD1527"/>
    <w:rsid w:val="00DD1830"/>
    <w:rsid w:val="00DD1EEA"/>
    <w:rsid w:val="00DD2520"/>
    <w:rsid w:val="00DD2AD8"/>
    <w:rsid w:val="00DD3730"/>
    <w:rsid w:val="00DD37DA"/>
    <w:rsid w:val="00DD3929"/>
    <w:rsid w:val="00DD474E"/>
    <w:rsid w:val="00DD5DF1"/>
    <w:rsid w:val="00DD5E15"/>
    <w:rsid w:val="00DD64F1"/>
    <w:rsid w:val="00DD6519"/>
    <w:rsid w:val="00DD656D"/>
    <w:rsid w:val="00DD66A4"/>
    <w:rsid w:val="00DD6AC7"/>
    <w:rsid w:val="00DD6DDE"/>
    <w:rsid w:val="00DD6DF8"/>
    <w:rsid w:val="00DD7157"/>
    <w:rsid w:val="00DD7439"/>
    <w:rsid w:val="00DD79CA"/>
    <w:rsid w:val="00DE1359"/>
    <w:rsid w:val="00DE23F7"/>
    <w:rsid w:val="00DE5E0A"/>
    <w:rsid w:val="00DE6A5A"/>
    <w:rsid w:val="00DE704D"/>
    <w:rsid w:val="00DE7B11"/>
    <w:rsid w:val="00DF0AB0"/>
    <w:rsid w:val="00DF0B4B"/>
    <w:rsid w:val="00DF0CF1"/>
    <w:rsid w:val="00DF1B4E"/>
    <w:rsid w:val="00DF1C69"/>
    <w:rsid w:val="00DF21AD"/>
    <w:rsid w:val="00DF2790"/>
    <w:rsid w:val="00DF394E"/>
    <w:rsid w:val="00DF4801"/>
    <w:rsid w:val="00DF49C0"/>
    <w:rsid w:val="00DF4B94"/>
    <w:rsid w:val="00DF4E7C"/>
    <w:rsid w:val="00DF5EAB"/>
    <w:rsid w:val="00DF64E8"/>
    <w:rsid w:val="00DF6CA8"/>
    <w:rsid w:val="00DF70E1"/>
    <w:rsid w:val="00E0022E"/>
    <w:rsid w:val="00E02476"/>
    <w:rsid w:val="00E0337D"/>
    <w:rsid w:val="00E04735"/>
    <w:rsid w:val="00E0474F"/>
    <w:rsid w:val="00E047CA"/>
    <w:rsid w:val="00E06226"/>
    <w:rsid w:val="00E06849"/>
    <w:rsid w:val="00E06B47"/>
    <w:rsid w:val="00E06EE6"/>
    <w:rsid w:val="00E110EE"/>
    <w:rsid w:val="00E1164A"/>
    <w:rsid w:val="00E11FE1"/>
    <w:rsid w:val="00E12072"/>
    <w:rsid w:val="00E12103"/>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DA8"/>
    <w:rsid w:val="00E26FDF"/>
    <w:rsid w:val="00E2717F"/>
    <w:rsid w:val="00E3019F"/>
    <w:rsid w:val="00E30456"/>
    <w:rsid w:val="00E305F0"/>
    <w:rsid w:val="00E32DB6"/>
    <w:rsid w:val="00E33A55"/>
    <w:rsid w:val="00E33B8D"/>
    <w:rsid w:val="00E3491F"/>
    <w:rsid w:val="00E351AD"/>
    <w:rsid w:val="00E35BED"/>
    <w:rsid w:val="00E36093"/>
    <w:rsid w:val="00E369B4"/>
    <w:rsid w:val="00E40606"/>
    <w:rsid w:val="00E41022"/>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1CF5"/>
    <w:rsid w:val="00E52338"/>
    <w:rsid w:val="00E53927"/>
    <w:rsid w:val="00E55027"/>
    <w:rsid w:val="00E55A36"/>
    <w:rsid w:val="00E55EC3"/>
    <w:rsid w:val="00E60D19"/>
    <w:rsid w:val="00E61D42"/>
    <w:rsid w:val="00E62713"/>
    <w:rsid w:val="00E627EC"/>
    <w:rsid w:val="00E62BD8"/>
    <w:rsid w:val="00E6311F"/>
    <w:rsid w:val="00E6374C"/>
    <w:rsid w:val="00E638CC"/>
    <w:rsid w:val="00E63B10"/>
    <w:rsid w:val="00E658F9"/>
    <w:rsid w:val="00E65CBD"/>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07A3"/>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6EA0"/>
    <w:rsid w:val="00EA7282"/>
    <w:rsid w:val="00EB12DB"/>
    <w:rsid w:val="00EB1336"/>
    <w:rsid w:val="00EB1643"/>
    <w:rsid w:val="00EB3A4D"/>
    <w:rsid w:val="00EB4549"/>
    <w:rsid w:val="00EB4F16"/>
    <w:rsid w:val="00EB4F1B"/>
    <w:rsid w:val="00EB688C"/>
    <w:rsid w:val="00EB73C9"/>
    <w:rsid w:val="00EB797B"/>
    <w:rsid w:val="00EC0C61"/>
    <w:rsid w:val="00EC1C62"/>
    <w:rsid w:val="00EC4C02"/>
    <w:rsid w:val="00EC56E8"/>
    <w:rsid w:val="00EC72AF"/>
    <w:rsid w:val="00ED0245"/>
    <w:rsid w:val="00ED1A59"/>
    <w:rsid w:val="00ED1A79"/>
    <w:rsid w:val="00ED2108"/>
    <w:rsid w:val="00ED4321"/>
    <w:rsid w:val="00ED58A7"/>
    <w:rsid w:val="00ED5A94"/>
    <w:rsid w:val="00ED71D4"/>
    <w:rsid w:val="00ED7658"/>
    <w:rsid w:val="00EE0F7C"/>
    <w:rsid w:val="00EE1BCE"/>
    <w:rsid w:val="00EE3140"/>
    <w:rsid w:val="00EE462B"/>
    <w:rsid w:val="00EE47DA"/>
    <w:rsid w:val="00EE4D9E"/>
    <w:rsid w:val="00EE59E2"/>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25CF"/>
    <w:rsid w:val="00F02F07"/>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62E0"/>
    <w:rsid w:val="00F17A71"/>
    <w:rsid w:val="00F17D0F"/>
    <w:rsid w:val="00F2126F"/>
    <w:rsid w:val="00F213CB"/>
    <w:rsid w:val="00F21ECA"/>
    <w:rsid w:val="00F22345"/>
    <w:rsid w:val="00F229B1"/>
    <w:rsid w:val="00F22C4D"/>
    <w:rsid w:val="00F235D4"/>
    <w:rsid w:val="00F23653"/>
    <w:rsid w:val="00F23FC3"/>
    <w:rsid w:val="00F25148"/>
    <w:rsid w:val="00F30B05"/>
    <w:rsid w:val="00F310E5"/>
    <w:rsid w:val="00F312D4"/>
    <w:rsid w:val="00F31475"/>
    <w:rsid w:val="00F3215A"/>
    <w:rsid w:val="00F32775"/>
    <w:rsid w:val="00F34560"/>
    <w:rsid w:val="00F352D7"/>
    <w:rsid w:val="00F366C5"/>
    <w:rsid w:val="00F36BAB"/>
    <w:rsid w:val="00F37024"/>
    <w:rsid w:val="00F371F9"/>
    <w:rsid w:val="00F37622"/>
    <w:rsid w:val="00F37B6C"/>
    <w:rsid w:val="00F37EFB"/>
    <w:rsid w:val="00F41597"/>
    <w:rsid w:val="00F422EB"/>
    <w:rsid w:val="00F432AA"/>
    <w:rsid w:val="00F43F19"/>
    <w:rsid w:val="00F448EA"/>
    <w:rsid w:val="00F4491D"/>
    <w:rsid w:val="00F45006"/>
    <w:rsid w:val="00F455CA"/>
    <w:rsid w:val="00F457E1"/>
    <w:rsid w:val="00F45E4C"/>
    <w:rsid w:val="00F45E80"/>
    <w:rsid w:val="00F46D40"/>
    <w:rsid w:val="00F50570"/>
    <w:rsid w:val="00F53A77"/>
    <w:rsid w:val="00F53E85"/>
    <w:rsid w:val="00F540F6"/>
    <w:rsid w:val="00F546D8"/>
    <w:rsid w:val="00F55412"/>
    <w:rsid w:val="00F55529"/>
    <w:rsid w:val="00F5556E"/>
    <w:rsid w:val="00F57CC6"/>
    <w:rsid w:val="00F57DEF"/>
    <w:rsid w:val="00F6112C"/>
    <w:rsid w:val="00F61699"/>
    <w:rsid w:val="00F6188A"/>
    <w:rsid w:val="00F61C5E"/>
    <w:rsid w:val="00F62048"/>
    <w:rsid w:val="00F623F7"/>
    <w:rsid w:val="00F62783"/>
    <w:rsid w:val="00F636C8"/>
    <w:rsid w:val="00F637E9"/>
    <w:rsid w:val="00F645C3"/>
    <w:rsid w:val="00F64910"/>
    <w:rsid w:val="00F655D8"/>
    <w:rsid w:val="00F66B0A"/>
    <w:rsid w:val="00F67159"/>
    <w:rsid w:val="00F674F8"/>
    <w:rsid w:val="00F679E3"/>
    <w:rsid w:val="00F70F2E"/>
    <w:rsid w:val="00F71018"/>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3CE0"/>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68A0"/>
    <w:rsid w:val="00F97148"/>
    <w:rsid w:val="00FA0687"/>
    <w:rsid w:val="00FA191E"/>
    <w:rsid w:val="00FA1F8F"/>
    <w:rsid w:val="00FA2A81"/>
    <w:rsid w:val="00FA40EC"/>
    <w:rsid w:val="00FA417A"/>
    <w:rsid w:val="00FA53DA"/>
    <w:rsid w:val="00FA5B34"/>
    <w:rsid w:val="00FA5E82"/>
    <w:rsid w:val="00FA60CD"/>
    <w:rsid w:val="00FA6163"/>
    <w:rsid w:val="00FA6A13"/>
    <w:rsid w:val="00FA6A2E"/>
    <w:rsid w:val="00FA7AC2"/>
    <w:rsid w:val="00FB0440"/>
    <w:rsid w:val="00FB069B"/>
    <w:rsid w:val="00FB0AA2"/>
    <w:rsid w:val="00FB0ACF"/>
    <w:rsid w:val="00FB0CDD"/>
    <w:rsid w:val="00FB0D4B"/>
    <w:rsid w:val="00FB0F81"/>
    <w:rsid w:val="00FB1008"/>
    <w:rsid w:val="00FB1A87"/>
    <w:rsid w:val="00FB364F"/>
    <w:rsid w:val="00FB4F39"/>
    <w:rsid w:val="00FB52F4"/>
    <w:rsid w:val="00FB5E70"/>
    <w:rsid w:val="00FC068E"/>
    <w:rsid w:val="00FC0789"/>
    <w:rsid w:val="00FC1178"/>
    <w:rsid w:val="00FC1C1A"/>
    <w:rsid w:val="00FC2E7F"/>
    <w:rsid w:val="00FC31A3"/>
    <w:rsid w:val="00FC34A9"/>
    <w:rsid w:val="00FC3958"/>
    <w:rsid w:val="00FC3AFC"/>
    <w:rsid w:val="00FC48B8"/>
    <w:rsid w:val="00FC55D8"/>
    <w:rsid w:val="00FC5ED1"/>
    <w:rsid w:val="00FC6163"/>
    <w:rsid w:val="00FC67D4"/>
    <w:rsid w:val="00FC6A67"/>
    <w:rsid w:val="00FC7C72"/>
    <w:rsid w:val="00FD012B"/>
    <w:rsid w:val="00FD17CA"/>
    <w:rsid w:val="00FD20DE"/>
    <w:rsid w:val="00FD212F"/>
    <w:rsid w:val="00FD29D0"/>
    <w:rsid w:val="00FD34DE"/>
    <w:rsid w:val="00FD37B3"/>
    <w:rsid w:val="00FD38B3"/>
    <w:rsid w:val="00FD43D4"/>
    <w:rsid w:val="00FD532C"/>
    <w:rsid w:val="00FD7D9F"/>
    <w:rsid w:val="00FE0F88"/>
    <w:rsid w:val="00FE128F"/>
    <w:rsid w:val="00FE1322"/>
    <w:rsid w:val="00FE1CF2"/>
    <w:rsid w:val="00FE213D"/>
    <w:rsid w:val="00FE2375"/>
    <w:rsid w:val="00FE23DA"/>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03110F83"/>
    <w:rsid w:val="04617641"/>
    <w:rsid w:val="062063C8"/>
    <w:rsid w:val="0741427E"/>
    <w:rsid w:val="0AF94838"/>
    <w:rsid w:val="0B355F20"/>
    <w:rsid w:val="0D2F0BAE"/>
    <w:rsid w:val="110F52E4"/>
    <w:rsid w:val="11634EB7"/>
    <w:rsid w:val="11910986"/>
    <w:rsid w:val="129B312A"/>
    <w:rsid w:val="15410768"/>
    <w:rsid w:val="169C6320"/>
    <w:rsid w:val="17D6535D"/>
    <w:rsid w:val="18852256"/>
    <w:rsid w:val="18E83537"/>
    <w:rsid w:val="19E6007D"/>
    <w:rsid w:val="1B882FB7"/>
    <w:rsid w:val="1B987D7D"/>
    <w:rsid w:val="1BBE231F"/>
    <w:rsid w:val="1DB64E0E"/>
    <w:rsid w:val="1EE905BA"/>
    <w:rsid w:val="214A2234"/>
    <w:rsid w:val="23A365C3"/>
    <w:rsid w:val="26565B74"/>
    <w:rsid w:val="283D4ABA"/>
    <w:rsid w:val="287C18E9"/>
    <w:rsid w:val="2B473C6A"/>
    <w:rsid w:val="2C403DC8"/>
    <w:rsid w:val="2D733E28"/>
    <w:rsid w:val="2F463553"/>
    <w:rsid w:val="2FE66436"/>
    <w:rsid w:val="301238AF"/>
    <w:rsid w:val="30555516"/>
    <w:rsid w:val="33A95154"/>
    <w:rsid w:val="353811DC"/>
    <w:rsid w:val="3563683D"/>
    <w:rsid w:val="380F7405"/>
    <w:rsid w:val="38321C03"/>
    <w:rsid w:val="38A73BC3"/>
    <w:rsid w:val="3B0C4758"/>
    <w:rsid w:val="3B980C42"/>
    <w:rsid w:val="3C1661C9"/>
    <w:rsid w:val="3C4D2448"/>
    <w:rsid w:val="3D552A9B"/>
    <w:rsid w:val="3DF00163"/>
    <w:rsid w:val="3E400AEB"/>
    <w:rsid w:val="3ED9007C"/>
    <w:rsid w:val="3F566F9A"/>
    <w:rsid w:val="3F853EF0"/>
    <w:rsid w:val="428D42A2"/>
    <w:rsid w:val="45620F53"/>
    <w:rsid w:val="463533D6"/>
    <w:rsid w:val="467047A4"/>
    <w:rsid w:val="4A0F3DC0"/>
    <w:rsid w:val="4CA77F4E"/>
    <w:rsid w:val="4CB712E9"/>
    <w:rsid w:val="51F02507"/>
    <w:rsid w:val="539937A1"/>
    <w:rsid w:val="550A4C07"/>
    <w:rsid w:val="56E2547E"/>
    <w:rsid w:val="58183758"/>
    <w:rsid w:val="5B0206C5"/>
    <w:rsid w:val="5B170BEE"/>
    <w:rsid w:val="5B232687"/>
    <w:rsid w:val="5D533593"/>
    <w:rsid w:val="5D5A7DD5"/>
    <w:rsid w:val="5D6913D3"/>
    <w:rsid w:val="6192E85F"/>
    <w:rsid w:val="62014DFF"/>
    <w:rsid w:val="646425A4"/>
    <w:rsid w:val="658A4F6B"/>
    <w:rsid w:val="67474ED8"/>
    <w:rsid w:val="69AC4326"/>
    <w:rsid w:val="6EC91014"/>
    <w:rsid w:val="6EF12C97"/>
    <w:rsid w:val="6F0F02D8"/>
    <w:rsid w:val="711917E5"/>
    <w:rsid w:val="72ED088A"/>
    <w:rsid w:val="76435B90"/>
    <w:rsid w:val="78846709"/>
    <w:rsid w:val="78E468A2"/>
    <w:rsid w:val="796263D2"/>
    <w:rsid w:val="7B3C3F48"/>
    <w:rsid w:val="7C1C0C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E84900-B69B-4822-B5C3-F85F48DD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qFormat/>
    <w:pPr>
      <w:ind w:left="283" w:hanging="283"/>
      <w:contextualSpacing/>
    </w:pPr>
  </w:style>
  <w:style w:type="paragraph" w:styleId="Caption">
    <w:name w:val="caption"/>
    <w:basedOn w:val="Normal"/>
    <w:next w:val="Normal"/>
    <w:link w:val="CaptionChar"/>
    <w:qFormat/>
    <w:pPr>
      <w:spacing w:after="240"/>
      <w:jc w:val="center"/>
    </w:pPr>
    <w:rPr>
      <w:b/>
      <w:bCs/>
    </w:r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ListNumber3">
    <w:name w:val="List Number 3"/>
    <w:basedOn w:val="Normal"/>
    <w:uiPriority w:val="99"/>
    <w:semiHidden/>
    <w:unhideWhenUsed/>
    <w:qFormat/>
    <w:pPr>
      <w:numPr>
        <w:numId w:val="2"/>
      </w:numPr>
      <w:tabs>
        <w:tab w:val="clear" w:pos="926"/>
      </w:tabs>
      <w:ind w:left="72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IndexHeading">
    <w:name w:val="index heading"/>
    <w:basedOn w:val="Normal"/>
    <w:next w:val="Normal"/>
    <w:qFormat/>
    <w:pPr>
      <w:pBdr>
        <w:top w:val="single" w:sz="12" w:space="0" w:color="auto"/>
      </w:pBdr>
      <w:spacing w:before="360" w:after="240"/>
      <w:jc w:val="left"/>
    </w:pPr>
    <w:rPr>
      <w:rFonts w:ascii="Times New Roman" w:hAnsi="Times New Roman"/>
      <w:b/>
      <w:i/>
      <w:sz w:val="26"/>
      <w:lang w:eastAsia="en-GB"/>
    </w:rPr>
  </w:style>
  <w:style w:type="paragraph" w:styleId="NormalWeb">
    <w:name w:val="Normal (Web)"/>
    <w:basedOn w:val="Normal"/>
    <w:uiPriority w:val="99"/>
    <w:semiHidden/>
    <w:unhideWhenUsed/>
    <w:qFormat/>
    <w:rPr>
      <w:sz w:val="24"/>
    </w:rPr>
  </w:style>
  <w:style w:type="paragraph" w:styleId="Index1">
    <w:name w:val="index 1"/>
    <w:basedOn w:val="Normal"/>
    <w:next w:val="Normal"/>
    <w:uiPriority w:val="99"/>
    <w:semiHidden/>
    <w:unhideWhenUsed/>
    <w:qFormat/>
    <w:pPr>
      <w:spacing w:after="0"/>
      <w:ind w:left="200" w:hanging="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3"/>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4"/>
      </w:numPr>
      <w:tabs>
        <w:tab w:val="clear" w:pos="2439"/>
        <w:tab w:val="left" w:pos="1304"/>
        <w:tab w:val="left" w:pos="1701"/>
      </w:tabs>
      <w:ind w:left="1304"/>
    </w:pPr>
    <w:rPr>
      <w:b/>
      <w:bCs/>
    </w:rPr>
  </w:style>
  <w:style w:type="paragraph" w:customStyle="1" w:styleId="Observation">
    <w:name w:val="Observation"/>
    <w:basedOn w:val="Proposal"/>
    <w:qFormat/>
    <w:pPr>
      <w:numPr>
        <w:numId w:val="5"/>
      </w:numPr>
    </w:p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Normal"/>
    <w:link w:val="B3Char"/>
    <w:qFormat/>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InstructiontextChar">
    <w:name w:val="Instructiontext Char"/>
    <w:link w:val="Instructiontext"/>
    <w:uiPriority w:val="99"/>
    <w:qFormat/>
    <w:locke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qFormat/>
    <w:locke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paragraph" w:customStyle="1" w:styleId="Agreement">
    <w:name w:val="Agreement"/>
    <w:basedOn w:val="Normal"/>
    <w:next w:val="Doc-text2"/>
    <w:qFormat/>
    <w:pPr>
      <w:numPr>
        <w:numId w:val="6"/>
      </w:numPr>
      <w:tabs>
        <w:tab w:val="clear" w:pos="359"/>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B1">
    <w:name w:val="B1"/>
    <w:basedOn w:val="List"/>
    <w:link w:val="B1Char"/>
    <w:qFormat/>
    <w:pPr>
      <w:spacing w:after="180"/>
      <w:ind w:left="568" w:hanging="284"/>
      <w:contextualSpacing w:val="0"/>
      <w:jc w:val="left"/>
    </w:pPr>
    <w:rPr>
      <w:lang w:eastAsia="en-US"/>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
    <w:name w:val="B1 Char"/>
    <w:link w:val="B1"/>
    <w:qFormat/>
    <w:rPr>
      <w:rFonts w:ascii="Arial" w:eastAsia="Times New Roman" w:hAnsi="Arial" w:cs="Times New Roman"/>
      <w:sz w:val="20"/>
      <w:szCs w:val="20"/>
      <w:lang w:val="en-GB"/>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paragraph" w:customStyle="1" w:styleId="Keyword">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qFormat/>
    <w:rPr>
      <w:lang w:val="zh-CN"/>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CaptionChar">
    <w:name w:val="Caption Char"/>
    <w:link w:val="Caption"/>
    <w:qFormat/>
    <w:rPr>
      <w:rFonts w:ascii="Arial" w:eastAsia="Times New Roman" w:hAnsi="Arial" w:cs="Times New Roman"/>
      <w:b/>
      <w:bCs/>
      <w:sz w:val="20"/>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val="en-GB" w:eastAsia="en-US"/>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LChar">
    <w:name w:val="TAL Char"/>
    <w:qFormat/>
    <w:rPr>
      <w:rFonts w:ascii="Arial" w:hAnsi="Arial"/>
      <w:sz w:val="18"/>
      <w:lang w:val="en-GB"/>
    </w:rPr>
  </w:style>
  <w:style w:type="paragraph" w:customStyle="1" w:styleId="EditorsNote">
    <w:name w:val="Editor's Note"/>
    <w:basedOn w:val="Heading4"/>
    <w:qFormat/>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EQ">
    <w:name w:val="EQ"/>
    <w:basedOn w:val="Normal"/>
    <w:next w:val="Normal"/>
    <w:qFormat/>
    <w:pPr>
      <w:keepLines/>
      <w:tabs>
        <w:tab w:val="center" w:pos="4536"/>
        <w:tab w:val="right" w:pos="9072"/>
      </w:tabs>
    </w:pPr>
  </w:style>
  <w:style w:type="paragraph" w:customStyle="1" w:styleId="ListParagraph5">
    <w:name w:val="List Paragraph5"/>
    <w:basedOn w:val="Normal"/>
    <w:uiPriority w:val="34"/>
    <w:qFormat/>
    <w:pPr>
      <w:spacing w:after="0"/>
      <w:ind w:left="720"/>
    </w:pPr>
    <w:rPr>
      <w:rFonts w:ascii="Calibri" w:hAnsi="Calibri" w:cs="Calibri"/>
    </w:rPr>
  </w:style>
  <w:style w:type="paragraph" w:customStyle="1" w:styleId="4">
    <w:name w:val="列出段落4"/>
    <w:basedOn w:val="Normal"/>
    <w:uiPriority w:val="99"/>
    <w:qFormat/>
    <w:pPr>
      <w:ind w:firstLineChars="200" w:firstLine="420"/>
    </w:pPr>
  </w:style>
  <w:style w:type="paragraph" w:customStyle="1" w:styleId="Revision2">
    <w:name w:val="Revision2"/>
    <w:hidden/>
    <w:uiPriority w:val="99"/>
    <w:semiHidden/>
    <w:qFormat/>
    <w:pPr>
      <w:spacing w:after="0" w:line="240" w:lineRule="auto"/>
    </w:pPr>
    <w:rPr>
      <w:rFonts w:ascii="Arial" w:eastAsia="Times New Roman" w:hAnsi="Arial"/>
      <w:lang w:eastAsia="zh-CN"/>
    </w:rPr>
  </w:style>
  <w:style w:type="paragraph" w:customStyle="1" w:styleId="NO">
    <w:name w:val="NO"/>
    <w:basedOn w:val="Normal"/>
    <w:qFormat/>
    <w:pPr>
      <w:keepLines/>
      <w:ind w:left="1135" w:hanging="851"/>
    </w:pPr>
  </w:style>
  <w:style w:type="paragraph" w:customStyle="1" w:styleId="Comments">
    <w:name w:val="Comments"/>
    <w:basedOn w:val="Normal"/>
    <w:qFormat/>
    <w:rPr>
      <w:i/>
      <w:sz w:val="18"/>
    </w:rPr>
  </w:style>
  <w:style w:type="paragraph" w:customStyle="1" w:styleId="Revision3">
    <w:name w:val="Revision3"/>
    <w:hidden/>
    <w:uiPriority w:val="99"/>
    <w:semiHidden/>
    <w:qFormat/>
    <w:pPr>
      <w:spacing w:after="0" w:line="240" w:lineRule="auto"/>
    </w:pPr>
    <w:rPr>
      <w:rFonts w:ascii="Arial" w:eastAsia="Times New Roman" w:hAnsi="Arial"/>
      <w:lang w:eastAsia="zh-CN"/>
    </w:rPr>
  </w:style>
  <w:style w:type="paragraph" w:styleId="Revision">
    <w:name w:val="Revision"/>
    <w:hidden/>
    <w:uiPriority w:val="99"/>
    <w:semiHidden/>
    <w:rsid w:val="00881307"/>
    <w:pPr>
      <w:spacing w:after="0" w:line="240" w:lineRule="auto"/>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286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9D69735-6BC1-428F-8C1C-8A070753354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1027</Words>
  <Characters>5860</Characters>
  <Application>Microsoft Office Word</Application>
  <DocSecurity>0</DocSecurity>
  <Lines>48</Lines>
  <Paragraphs>13</Paragraphs>
  <ScaleCrop>false</ScaleCrop>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ZTE(Eswar)</cp:lastModifiedBy>
  <cp:revision>5</cp:revision>
  <dcterms:created xsi:type="dcterms:W3CDTF">2021-08-05T10:55:00Z</dcterms:created>
  <dcterms:modified xsi:type="dcterms:W3CDTF">2022-01-10T17:32:00Z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